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253"/>
        <w:gridCol w:w="1984"/>
        <w:gridCol w:w="4111"/>
      </w:tblGrid>
      <w:tr w:rsidR="009126E4" w:rsidRPr="00AB77F5" w:rsidTr="009F3A57">
        <w:trPr>
          <w:trHeight w:val="715"/>
        </w:trPr>
        <w:tc>
          <w:tcPr>
            <w:tcW w:w="4253" w:type="dxa"/>
          </w:tcPr>
          <w:p w:rsidR="009126E4" w:rsidRPr="00AB77F5" w:rsidRDefault="009126E4" w:rsidP="009126E4">
            <w:pPr>
              <w:tabs>
                <w:tab w:val="center" w:pos="2018"/>
                <w:tab w:val="left" w:pos="32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</w:t>
            </w:r>
          </w:p>
        </w:tc>
        <w:tc>
          <w:tcPr>
            <w:tcW w:w="1984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081D2BBA" wp14:editId="62233EB5">
                  <wp:simplePos x="0" y="0"/>
                  <wp:positionH relativeFrom="margin">
                    <wp:posOffset>311150</wp:posOffset>
                  </wp:positionH>
                  <wp:positionV relativeFrom="margin">
                    <wp:posOffset>-3175</wp:posOffset>
                  </wp:positionV>
                  <wp:extent cx="445135" cy="524510"/>
                  <wp:effectExtent l="0" t="0" r="0" b="8890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11" w:type="dxa"/>
          </w:tcPr>
          <w:p w:rsidR="009126E4" w:rsidRPr="00AB77F5" w:rsidRDefault="0023363C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0B0AE8"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ПРОЕКТ</w:t>
            </w:r>
          </w:p>
        </w:tc>
      </w:tr>
      <w:tr w:rsidR="009126E4" w:rsidRPr="00AB77F5" w:rsidTr="009F3A57">
        <w:trPr>
          <w:trHeight w:val="2118"/>
        </w:trPr>
        <w:tc>
          <w:tcPr>
            <w:tcW w:w="4253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АЛАТЫРСКОГО МУНИЦИПАЛЬНОГО ОКРУГА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ЧУВАШСКОЙ РЕСПУБЛИКИ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ПОСТАНОВЛЕНИЕ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0B0AE8" w:rsidP="00FE5E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.07</w:t>
            </w:r>
            <w:r w:rsidR="00E65D42"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</w:t>
            </w: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Алатырь</w:t>
            </w:r>
          </w:p>
        </w:tc>
        <w:tc>
          <w:tcPr>
            <w:tcW w:w="1984" w:type="dxa"/>
          </w:tcPr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МУНИЦИПАЛИТЕТ ОКРУГӖН АДМИНИСТРАЦИЙӖ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ЧӐВАШ РЕСПУБЛИКИН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0B0AE8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.07</w:t>
            </w:r>
            <w:r w:rsidR="00E65D42"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.2023</w:t>
            </w:r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 </w:t>
            </w: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126E4" w:rsidRPr="00AB77F5" w:rsidRDefault="009126E4" w:rsidP="009126E4">
            <w:pPr>
              <w:spacing w:after="0" w:line="240" w:lineRule="auto"/>
              <w:ind w:left="-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Улатӑ</w:t>
            </w:r>
            <w:proofErr w:type="gramStart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B77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0B0AE8" w:rsidP="000B0A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 определении границ прилегающих территорий к организациям и (или) объектам, на которых не допускается розничная торговля алкогольной продукции при оказании услуг общественного питания на территории Ал</w:t>
      </w:r>
      <w:r w:rsidR="009546B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атырского муниципального </w:t>
      </w: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округа</w:t>
      </w:r>
    </w:p>
    <w:p w:rsidR="009F6D47" w:rsidRPr="00AB77F5" w:rsidRDefault="009F6D47" w:rsidP="000B0AE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D47" w:rsidRPr="00AB77F5" w:rsidRDefault="009F6D47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5D42" w:rsidRPr="00AB77F5" w:rsidRDefault="000B0AE8" w:rsidP="009F6D47">
      <w:pPr>
        <w:pStyle w:val="ConsPlusTitle"/>
        <w:ind w:firstLine="567"/>
        <w:jc w:val="both"/>
        <w:rPr>
          <w:b w:val="0"/>
          <w:color w:val="000000"/>
          <w:szCs w:val="24"/>
        </w:rPr>
      </w:pPr>
      <w:proofErr w:type="gramStart"/>
      <w:r w:rsidRPr="00AB77F5">
        <w:rPr>
          <w:rFonts w:eastAsiaTheme="minorEastAsia"/>
          <w:b w:val="0"/>
          <w:szCs w:val="24"/>
        </w:rPr>
        <w:t xml:space="preserve">В соответствии с </w:t>
      </w:r>
      <w:hyperlink r:id="rId10" w:history="1">
        <w:r w:rsidRPr="00AB77F5">
          <w:rPr>
            <w:rFonts w:eastAsiaTheme="minorEastAsia"/>
            <w:b w:val="0"/>
            <w:szCs w:val="24"/>
          </w:rPr>
          <w:t>частью 8 статьи 16</w:t>
        </w:r>
      </w:hyperlink>
      <w:r w:rsidRPr="00AB77F5">
        <w:rPr>
          <w:rFonts w:eastAsiaTheme="minorEastAsia"/>
          <w:b w:val="0"/>
          <w:szCs w:val="24"/>
        </w:rPr>
        <w:t xml:space="preserve"> Федерального закона от 22 ноября 1995 г. № 171-ФЗ «О государственном регулировании производства и оборота этилового спирта, алкогольной и спиртосодержащей продукции и об ограничении </w:t>
      </w:r>
      <w:bookmarkStart w:id="0" w:name="_GoBack"/>
      <w:bookmarkEnd w:id="0"/>
      <w:r w:rsidRPr="00AB77F5">
        <w:rPr>
          <w:rFonts w:eastAsiaTheme="minorEastAsia"/>
          <w:b w:val="0"/>
          <w:szCs w:val="24"/>
        </w:rPr>
        <w:t xml:space="preserve">потребления (распития) алкогольной продукции», </w:t>
      </w:r>
      <w:hyperlink r:id="rId11" w:history="1">
        <w:r w:rsidRPr="00AB77F5">
          <w:rPr>
            <w:rFonts w:eastAsiaTheme="minorEastAsia"/>
            <w:b w:val="0"/>
            <w:szCs w:val="24"/>
          </w:rPr>
          <w:t>постановлением</w:t>
        </w:r>
      </w:hyperlink>
      <w:r w:rsidRPr="00AB77F5">
        <w:rPr>
          <w:rFonts w:eastAsiaTheme="minorEastAsia"/>
          <w:b w:val="0"/>
          <w:szCs w:val="24"/>
        </w:rPr>
        <w:t xml:space="preserve"> Правительства Российской Федерации от 23 декабря 2020 г. №  2220 «Об утверждении Правил определения органами местного самоуправления границ прилегающих территорий, на которых не допускается розничная продажа</w:t>
      </w:r>
      <w:proofErr w:type="gramEnd"/>
      <w:r w:rsidRPr="00AB77F5">
        <w:rPr>
          <w:rFonts w:eastAsiaTheme="minorEastAsia"/>
          <w:b w:val="0"/>
          <w:szCs w:val="24"/>
        </w:rPr>
        <w:t xml:space="preserve"> алкогольной продукции и розничная продажа алкогольной продукции при оказании услуг</w:t>
      </w:r>
      <w:r w:rsidR="00E2338D" w:rsidRPr="00AB77F5">
        <w:rPr>
          <w:rFonts w:eastAsiaTheme="minorEastAsia"/>
          <w:b w:val="0"/>
          <w:szCs w:val="24"/>
        </w:rPr>
        <w:t xml:space="preserve"> общественного питания»</w:t>
      </w:r>
      <w:r w:rsidR="00E65D42" w:rsidRPr="00AB77F5">
        <w:rPr>
          <w:b w:val="0"/>
          <w:color w:val="000000"/>
          <w:szCs w:val="24"/>
        </w:rPr>
        <w:t>, администрация Алатырского муниципального округа</w:t>
      </w:r>
    </w:p>
    <w:p w:rsidR="009126E4" w:rsidRPr="00AB77F5" w:rsidRDefault="009126E4" w:rsidP="009F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постановляет:</w:t>
      </w:r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1" w:name="sub_1"/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Определить, что обособленная территория – это территория, границы которой обозначены ограждением (объектами искусственного происхождения), прилегающая к зданию (строению, сооружению), в котором расположены детские, медицинские, образовательные организации, объекты спорта, вокзалы и рынки.</w:t>
      </w:r>
      <w:bookmarkEnd w:id="1"/>
      <w:proofErr w:type="gramEnd"/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Установить границы прилегающих территорий: 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Федерации, - 20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 спортивным сооружениям, которые являются объектами недвижимости и </w:t>
      </w: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права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на которые зарегистрированы в установле</w:t>
      </w:r>
      <w:r w:rsidR="00E2338D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нном порядке, - 20</w:t>
      </w: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метров;</w:t>
      </w:r>
    </w:p>
    <w:p w:rsidR="00E2338D" w:rsidRPr="00AB77F5" w:rsidRDefault="00E2338D" w:rsidP="00DF70E1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hAnsi="Times New Roman" w:cs="Times New Roman"/>
          <w:sz w:val="24"/>
          <w:szCs w:val="24"/>
          <w:lang w:eastAsia="ar-SA"/>
        </w:rPr>
        <w:t>к боевым позициям войск, полигонам, узлам связи, к расположениям воинских частей,   к специальным технологическим комплексам, к зданиям и сооружениям, предназначенным для управления войсками, размещения и хранения военной техники, военного имущества и оборудования, испытания вооружения, а также к зданиям и сооружениям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обеспечивающим оборону и безопасность Российской Федерации</w:t>
      </w:r>
      <w:proofErr w:type="gramEnd"/>
      <w:r w:rsidRPr="00AB77F5">
        <w:rPr>
          <w:rFonts w:ascii="Times New Roman" w:hAnsi="Times New Roman" w:cs="Times New Roman"/>
          <w:sz w:val="24"/>
          <w:szCs w:val="24"/>
          <w:lang w:eastAsia="ar-SA"/>
        </w:rPr>
        <w:t>, - 20 метров;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left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 вокзалам, к аэропортам - 20 метров.</w:t>
      </w:r>
    </w:p>
    <w:p w:rsidR="00DF70E1" w:rsidRPr="00AB77F5" w:rsidRDefault="00DF70E1" w:rsidP="00DF70E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2" w:name="sub_3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Определить способ расчета расстояний: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3" w:name="sub_31"/>
      <w:bookmarkEnd w:id="2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по кратчайшему маршруту движения пешехода при наличии обособленной территории - от входа для посетителей на обособленную территорию до входа для посетителей в стационарный торговый объект;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4" w:name="sub_32"/>
      <w:bookmarkEnd w:id="3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по кратчайшему маршруту движения пешехода при отсутствии обособленной территории - от входа для посетителей в здание (строение, сооружение), в котором расположены организации и (или) объекты, до входа для посетителей в стационарный торговый объект;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5" w:name="sub_33"/>
      <w:bookmarkEnd w:id="4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в) при наличии нескольких входов для посетителей на обособленную территорию (в здание, строение, сооружение), на </w:t>
      </w:r>
      <w:proofErr w:type="gramStart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которой</w:t>
      </w:r>
      <w:proofErr w:type="gramEnd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(в котором) расположена организация или объект, расчет (измерение) расстояния производить от каждого входа на обособленную территорию (в здание, строение, сооружение);</w:t>
      </w:r>
    </w:p>
    <w:p w:rsidR="00DF70E1" w:rsidRPr="00AB77F5" w:rsidRDefault="00DF70E1" w:rsidP="00DF70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6" w:name="sub_34"/>
      <w:bookmarkEnd w:id="5"/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г) при наличии нескольких входов для посетителей в стационарный торговый объект и объект общественного питания расчет (измерение) расстояния производить до ближайшего входа для посетителей в стационарный торговый объект и объект общественного питания.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4. Требование к площади зала обслуживания посетителей в объектах общественного питания, расположенных многоквартирных домах, устанавливается законодательством Чувашской Республики.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Определить границы прилегающих территорий к многоквартирным домам, на которых не допускается розничная продажа алкогольной продукции при оказании услуг общественного питания в объектах общественного питания, за исключением объектов общественного питания, имеющих зал обслуживания, общая площадь которого соответствует законодательству Чувашской Республики, на расстоянии 20 метров от зданий многоквартирных домов.</w:t>
      </w:r>
    </w:p>
    <w:p w:rsidR="00E2338D" w:rsidRPr="00AB77F5" w:rsidRDefault="00E2338D" w:rsidP="00E2338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Расстояние, указанное в настоящем пункте, определяется от стены многоквартирного дома (включая встроенные и встроенно-пристроенные помещения) по всему периметру здания по прямой линии без учета рельефа территории, искусственных и естественных преград.</w:t>
      </w:r>
    </w:p>
    <w:bookmarkEnd w:id="6"/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6.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Утвердить перечень организаций и (или) объектов, на прилегающих территориях к которым не допускается розничная продажа алкогольной продукции, согласно приложению к настоящему постановлению.</w:t>
      </w: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7.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Признать утратившим силу п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остановление администрации Алатыр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ского района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Чувашской Республики от 03.10.2013 № 470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«Об определении границ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прилегающих территорий к местам массового скопления»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территории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Алатырского района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DF70E1" w:rsidP="00DF70E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vanish/>
          <w:sz w:val="24"/>
          <w:szCs w:val="24"/>
          <w:lang w:eastAsia="ru-RU"/>
        </w:rPr>
      </w:pP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8. </w:t>
      </w:r>
      <w:proofErr w:type="gramStart"/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</w:t>
      </w:r>
      <w:r w:rsidR="003015F2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отдел экономики и муниципального имущества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DF70E1" w:rsidRPr="00AB77F5" w:rsidRDefault="00F42729" w:rsidP="00F42729">
      <w:pPr>
        <w:widowControl w:val="0"/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9. </w:t>
      </w:r>
      <w:r w:rsidR="00DF70E1" w:rsidRPr="00AB77F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Настоящее постановление вступает в силу после его официального опубликования.</w:t>
      </w:r>
    </w:p>
    <w:p w:rsidR="00DF70E1" w:rsidRPr="00AB77F5" w:rsidRDefault="00DF70E1" w:rsidP="00DF70E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F5413" w:rsidRPr="00AB77F5" w:rsidRDefault="00CF5413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26E4" w:rsidRPr="00AB77F5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Алатырского </w:t>
      </w:r>
    </w:p>
    <w:p w:rsidR="009126E4" w:rsidRPr="00AB77F5" w:rsidRDefault="009126E4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округа </w:t>
      </w: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                      </w:t>
      </w:r>
      <w:r w:rsidR="00AC52C3"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AB77F5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 Шпилевая</w:t>
      </w:r>
      <w:proofErr w:type="gramEnd"/>
    </w:p>
    <w:p w:rsidR="009F3A57" w:rsidRPr="00AB77F5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B77F5" w:rsidRDefault="00AB77F5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Pr="009F3A57" w:rsidRDefault="009F3A57" w:rsidP="009F3A57">
      <w:pPr>
        <w:spacing w:after="0" w:line="240" w:lineRule="auto"/>
        <w:ind w:left="6804" w:right="-850"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lastRenderedPageBreak/>
        <w:t xml:space="preserve">Приложение 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>к постановлению администрации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Алатыр</w:t>
      </w:r>
      <w:r w:rsidRPr="009F3A57">
        <w:rPr>
          <w:rFonts w:ascii="Times New Roman" w:eastAsia="Calibri" w:hAnsi="Times New Roman" w:cs="Times New Roman"/>
          <w:sz w:val="18"/>
          <w:szCs w:val="18"/>
        </w:rPr>
        <w:t>ского муниципального округа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>Чувашской Республик</w:t>
      </w:r>
      <w:r>
        <w:rPr>
          <w:rFonts w:ascii="Times New Roman" w:eastAsia="Calibri" w:hAnsi="Times New Roman" w:cs="Times New Roman"/>
          <w:sz w:val="18"/>
          <w:szCs w:val="18"/>
        </w:rPr>
        <w:t>и</w:t>
      </w:r>
    </w:p>
    <w:p w:rsidR="009F3A57" w:rsidRPr="009F3A57" w:rsidRDefault="009F3A57" w:rsidP="009F3A57">
      <w:pPr>
        <w:spacing w:after="0" w:line="240" w:lineRule="auto"/>
        <w:ind w:left="6804" w:right="-850"/>
        <w:contextualSpacing/>
        <w:rPr>
          <w:rFonts w:ascii="Times New Roman" w:eastAsia="Calibri" w:hAnsi="Times New Roman" w:cs="Times New Roman"/>
          <w:sz w:val="18"/>
          <w:szCs w:val="18"/>
        </w:rPr>
      </w:pPr>
      <w:r w:rsidRPr="009F3A57">
        <w:rPr>
          <w:rFonts w:ascii="Times New Roman" w:eastAsia="Calibri" w:hAnsi="Times New Roman" w:cs="Times New Roman"/>
          <w:sz w:val="18"/>
          <w:szCs w:val="18"/>
        </w:rPr>
        <w:t>_____________№______________</w:t>
      </w:r>
    </w:p>
    <w:tbl>
      <w:tblPr>
        <w:tblStyle w:val="a9"/>
        <w:tblpPr w:leftFromText="180" w:rightFromText="180" w:vertAnchor="text" w:horzAnchor="margin" w:tblpXSpec="center" w:tblpY="1049"/>
        <w:tblOverlap w:val="never"/>
        <w:tblW w:w="9605" w:type="dxa"/>
        <w:tblLayout w:type="fixed"/>
        <w:tblLook w:val="04A0" w:firstRow="1" w:lastRow="0" w:firstColumn="1" w:lastColumn="0" w:noHBand="0" w:noVBand="1"/>
      </w:tblPr>
      <w:tblGrid>
        <w:gridCol w:w="638"/>
        <w:gridCol w:w="2911"/>
        <w:gridCol w:w="3363"/>
        <w:gridCol w:w="1418"/>
        <w:gridCol w:w="1275"/>
      </w:tblGrid>
      <w:tr w:rsidR="009F3A57" w:rsidRPr="009F3A57" w:rsidTr="00A51A7E">
        <w:tc>
          <w:tcPr>
            <w:tcW w:w="638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п</w:t>
            </w:r>
            <w:proofErr w:type="gramEnd"/>
            <w:r w:rsidRPr="009F3A57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/п</w:t>
            </w:r>
          </w:p>
        </w:tc>
        <w:tc>
          <w:tcPr>
            <w:tcW w:w="2911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Наименование организации, объекта</w:t>
            </w:r>
          </w:p>
        </w:tc>
        <w:tc>
          <w:tcPr>
            <w:tcW w:w="3363" w:type="dxa"/>
            <w:vMerge w:val="restart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Адрес осуществления деятельности</w:t>
            </w:r>
          </w:p>
        </w:tc>
        <w:tc>
          <w:tcPr>
            <w:tcW w:w="2693" w:type="dxa"/>
            <w:gridSpan w:val="2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</w:pPr>
            <w:r w:rsidRPr="009F3A57">
              <w:rPr>
                <w:rFonts w:ascii="Times New Roman CYR" w:eastAsiaTheme="minorEastAsia" w:hAnsi="Times New Roman CYR" w:cs="Times New Roman CYR"/>
                <w:sz w:val="18"/>
                <w:szCs w:val="18"/>
                <w:lang w:eastAsia="ru-RU"/>
              </w:rPr>
              <w:t>Расстояние от организаций и объектов до границ прилегающих территорий, на которых не допускается розничная продажа алкогольной продукции, метров</w:t>
            </w:r>
          </w:p>
        </w:tc>
      </w:tr>
      <w:tr w:rsidR="009F3A57" w:rsidRPr="009F3A57" w:rsidTr="00A51A7E">
        <w:tc>
          <w:tcPr>
            <w:tcW w:w="638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2911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3363" w:type="dxa"/>
            <w:vMerge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sz w:val="18"/>
                <w:szCs w:val="18"/>
              </w:rPr>
              <w:t>в отношении стационарных торговых объектов</w:t>
            </w:r>
          </w:p>
        </w:tc>
        <w:tc>
          <w:tcPr>
            <w:tcW w:w="1275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sz w:val="18"/>
                <w:szCs w:val="18"/>
              </w:rPr>
              <w:t>в отношении объектов, оказывающих услугу общественного питания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1. Образовательные организации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пос.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Школьная, д. 10 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основная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Полевая, д. 25а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овательное учреждение «Ахматов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 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Чувашск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Ленина, д. 44а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Атрат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общеобразовательная школа"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.А</w:t>
            </w:r>
            <w:proofErr w:type="gram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трать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Щорса, д. 11</w:t>
            </w:r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льное учреждение «Первомайская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зовательная школа имени 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Чувашск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п. Первомайский, ул. Ленина,  д. 28</w:t>
            </w:r>
            <w:proofErr w:type="gramEnd"/>
          </w:p>
          <w:p w:rsidR="009F3A57" w:rsidRPr="00B7298E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ьное учреждение «</w:t>
            </w:r>
            <w:proofErr w:type="spellStart"/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Новоайбесинская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 w:rsidR="00194EF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ул. Ленина, д 19</w:t>
            </w:r>
          </w:p>
          <w:p w:rsidR="009F3A57" w:rsidRPr="007903CB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B7298E" w:rsidP="00B7298E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общеобразовател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Сойгинская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бщеобразовательная школа»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B7298E" w:rsidRPr="00B7298E" w:rsidRDefault="00B7298E" w:rsidP="00B7298E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ул. Ленина,  д.13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7903CB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Кир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едняя общеобразовательная школа 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имени Героя России лётчика-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 xml:space="preserve">космонавта Н.М. </w:t>
            </w:r>
            <w:proofErr w:type="spellStart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Бударина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"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п.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Ленина, д.44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7903CB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Кувакин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имени </w:t>
            </w:r>
            <w:r>
              <w:t xml:space="preserve"> </w:t>
            </w:r>
            <w:r w:rsidRPr="007903C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Героя Советского Союза И.М. Ивкина»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7903CB" w:rsidRPr="007903CB" w:rsidRDefault="007903CB" w:rsidP="007903C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увашская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еспублика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 xml:space="preserve">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.К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увакино</w:t>
            </w:r>
            <w:proofErr w:type="spell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ул. Пролетарская,  д. 21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410994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Чуварлей</w:t>
            </w: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410994" w:rsidRPr="00410994" w:rsidRDefault="00410994" w:rsidP="0041099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2D7C70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,  ул. Николаева, д. 2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5C732F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Стемас</w:t>
            </w: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,  с. </w:t>
            </w:r>
            <w:proofErr w:type="spell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ул. Школьная,  д. 1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5C732F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зовательное учреждение «</w:t>
            </w:r>
            <w:proofErr w:type="spellStart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Стемас</w:t>
            </w:r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ская</w:t>
            </w:r>
            <w:proofErr w:type="spellEnd"/>
            <w:r w:rsidRPr="005C732F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общеобразовательная школа»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>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п.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сход, ул.</w:t>
            </w:r>
            <w:r w:rsidR="00E74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Школьная,  д.10</w:t>
            </w:r>
            <w:proofErr w:type="gramEnd"/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E718B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E718B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114101" w:rsidRPr="009F3A57" w:rsidTr="00A51A7E">
        <w:tc>
          <w:tcPr>
            <w:tcW w:w="638" w:type="dxa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114101" w:rsidRPr="009F3A57" w:rsidRDefault="00114101" w:rsidP="0011410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общеобразовате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Староайбесинская</w:t>
            </w:r>
            <w:proofErr w:type="spellEnd"/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средняя общеобра</w:t>
            </w:r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зовательная школа имени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»  Алатыр</w:t>
            </w: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ского муниципального округа Чувашской Республики</w:t>
            </w:r>
          </w:p>
        </w:tc>
        <w:tc>
          <w:tcPr>
            <w:tcW w:w="3363" w:type="dxa"/>
            <w:vAlign w:val="center"/>
          </w:tcPr>
          <w:p w:rsidR="00114101" w:rsidRPr="00B7298E" w:rsidRDefault="00114101" w:rsidP="00114101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увашская 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еспублика, Алатырский муниципальный округ</w:t>
            </w:r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="00211529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.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тарые</w:t>
            </w:r>
            <w:proofErr w:type="spell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Айб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Школьная, д. 5</w:t>
            </w:r>
          </w:p>
        </w:tc>
        <w:tc>
          <w:tcPr>
            <w:tcW w:w="1418" w:type="dxa"/>
            <w:vAlign w:val="center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114101" w:rsidRPr="009F3A57" w:rsidRDefault="00114101" w:rsidP="001141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2D7C70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автономное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дошкольное 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общеоб</w:t>
            </w:r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разовательное учреждение «</w:t>
            </w:r>
            <w:proofErr w:type="spellStart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Чуварлейский</w:t>
            </w:r>
            <w:proofErr w:type="spellEnd"/>
            <w:r w:rsid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детский сад</w:t>
            </w:r>
            <w:r w:rsidR="001E5E12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«Колокольчик»</w:t>
            </w:r>
            <w:r w:rsidR="00E718BC"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718BC" w:rsidRPr="00E718BC" w:rsidRDefault="00E718BC" w:rsidP="00E718BC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Чув</w:t>
            </w:r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ашская Республика, Алатырский муниципальный округ, с. </w:t>
            </w:r>
            <w:proofErr w:type="spellStart"/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Чуварлеи</w:t>
            </w:r>
            <w:proofErr w:type="spellEnd"/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Ворошилова</w:t>
            </w:r>
            <w:r w:rsidRPr="00E718BC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д. 2</w:t>
            </w:r>
            <w:r w:rsidR="00E7426B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37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1E5E12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1E5E12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  <w:vAlign w:val="center"/>
          </w:tcPr>
          <w:p w:rsidR="009F3A57" w:rsidRPr="009F3A57" w:rsidRDefault="00E06FE4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Муниципальное бюджетное учреждение дополнительного образования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Алтышевская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детская музыкальная школа»</w:t>
            </w:r>
            <w:r w:rsidRPr="0041099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Алатырского муниципального округа  Чувашской Республики</w:t>
            </w:r>
          </w:p>
        </w:tc>
        <w:tc>
          <w:tcPr>
            <w:tcW w:w="3363" w:type="dxa"/>
            <w:vAlign w:val="center"/>
          </w:tcPr>
          <w:p w:rsidR="00E06FE4" w:rsidRPr="00E06FE4" w:rsidRDefault="00E06FE4" w:rsidP="00E06FE4">
            <w:pP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E06FE4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Чувашская Республика, А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латырский муниципальный округ, п.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Алтышево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,  ул. Заводская, д. 6</w:t>
            </w:r>
          </w:p>
          <w:p w:rsidR="009F3A57" w:rsidRPr="009F3A57" w:rsidRDefault="009F3A57" w:rsidP="009F3A57">
            <w:pPr>
              <w:jc w:val="both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9F3A57" w:rsidRDefault="00D259A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9F3A57" w:rsidRDefault="00D259AC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2. Медицинские организации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604FB" w:rsidRPr="009F3A57" w:rsidTr="00A13D55">
        <w:tc>
          <w:tcPr>
            <w:tcW w:w="638" w:type="dxa"/>
          </w:tcPr>
          <w:p w:rsidR="009604FB" w:rsidRPr="009F3A57" w:rsidRDefault="009604FB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9604FB" w:rsidRPr="009604FB" w:rsidRDefault="009604FB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пос.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3363" w:type="dxa"/>
          </w:tcPr>
          <w:p w:rsidR="009604FB" w:rsidRPr="009604FB" w:rsidRDefault="009604FB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муниципальный округ, пос.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, ул. Гагарина д. 41</w:t>
            </w:r>
          </w:p>
        </w:tc>
        <w:tc>
          <w:tcPr>
            <w:tcW w:w="1418" w:type="dxa"/>
            <w:vAlign w:val="center"/>
          </w:tcPr>
          <w:p w:rsidR="009604FB" w:rsidRPr="009F3A57" w:rsidRDefault="00E06FE4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604FB" w:rsidRPr="009F3A57" w:rsidRDefault="00E06FE4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п.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 Алатырский муниципальный округ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пос.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Киря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, ул. Сидорина д. 10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ктики (семейной медицины)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Новые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gram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Новые</w:t>
            </w:r>
            <w:proofErr w:type="gramEnd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 33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,  с. </w:t>
            </w:r>
            <w:proofErr w:type="spell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Иваньково</w:t>
            </w:r>
            <w:proofErr w:type="spellEnd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Ленино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Школьная д. 1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ктики (семейной медицины)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Старые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Айбеси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 Ч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увашская 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Р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еспублика, Алатырский муниципальный округ</w:t>
            </w:r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с</w:t>
            </w:r>
            <w:proofErr w:type="gramEnd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. Старые </w:t>
            </w:r>
            <w:proofErr w:type="spellStart"/>
            <w:r w:rsidRPr="00114101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Айб</w:t>
            </w: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еси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д. 48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Отделение общей врачебной практики (семейной медицины) с. </w:t>
            </w:r>
            <w:proofErr w:type="spellStart"/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Атрать</w:t>
            </w:r>
            <w:proofErr w:type="spellEnd"/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Атрать</w:t>
            </w:r>
            <w:proofErr w:type="spellEnd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ул. Кирова д.5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>Отделение общей врачебной практики (семейной медицины) с. Кувакино</w:t>
            </w:r>
          </w:p>
        </w:tc>
        <w:tc>
          <w:tcPr>
            <w:tcW w:w="3363" w:type="dxa"/>
          </w:tcPr>
          <w:p w:rsidR="00E06FE4" w:rsidRPr="009604FB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 xml:space="preserve">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увашская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еспублика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Алатырский муниципальный округ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,  с.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903CB">
              <w:rPr>
                <w:rFonts w:ascii="Times New Roman" w:hAnsi="Times New Roman" w:cs="Times New Roman"/>
                <w:sz w:val="18"/>
                <w:szCs w:val="18"/>
              </w:rPr>
              <w:t>Кувакино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9604FB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д.56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718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Стемасы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ул. 141 Стрелковой дивизии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36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Сойгино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Чувашская Республика, Алатырский муниципальный округ,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ойгино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К.Маркса</w:t>
            </w:r>
            <w:proofErr w:type="spell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38А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п. Восход</w:t>
            </w:r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Республика, Алатырский муниципальный округ</w:t>
            </w:r>
            <w:r w:rsidRPr="00E718BC">
              <w:rPr>
                <w:rFonts w:ascii="Times New Roman" w:hAnsi="Times New Roman" w:cs="Times New Roman"/>
                <w:sz w:val="18"/>
                <w:szCs w:val="18"/>
              </w:rPr>
              <w:t>, п. 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сход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 д. 7-А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кая Республика,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Алтышево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Сульдина</w:t>
            </w:r>
            <w:proofErr w:type="spell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д.1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429816, Чувашск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Ахматово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Школьная д.24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Алатырский муниципальный округ</w:t>
            </w: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, с. </w:t>
            </w:r>
            <w:proofErr w:type="spellStart"/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Чуварлеи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Ворошилова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д. 142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Явлеи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Явлеи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Дружбы д. 16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Сур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айдан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Сурский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Майдан,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Чебоксарская д. 72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Анютино</w:t>
            </w:r>
            <w:proofErr w:type="gram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п.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Анютино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Юбилейная д. 40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ED5972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Бер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айдан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Березовый Майдан,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Кооперативная д. 33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DC5647">
        <w:tc>
          <w:tcPr>
            <w:tcW w:w="638" w:type="dxa"/>
          </w:tcPr>
          <w:p w:rsidR="00E06FE4" w:rsidRPr="009F3A57" w:rsidRDefault="00E06FE4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Ичиксы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6221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Ичиксы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Ленина д. 61</w:t>
            </w:r>
          </w:p>
        </w:tc>
        <w:tc>
          <w:tcPr>
            <w:tcW w:w="1418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275" w:type="dxa"/>
          </w:tcPr>
          <w:p w:rsidR="00E06FE4" w:rsidRPr="00E06FE4" w:rsidRDefault="00E06FE4" w:rsidP="009B25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06FE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с. Междуречье</w:t>
            </w:r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Междуречье,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ул.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50 лет ЧАССР д.18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иренки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>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Миренки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л. Ленина д. 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Фельдшерско-акушерский пункт с. </w:t>
            </w:r>
            <w:proofErr w:type="spellStart"/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Ялушево</w:t>
            </w:r>
            <w:proofErr w:type="spellEnd"/>
          </w:p>
        </w:tc>
        <w:tc>
          <w:tcPr>
            <w:tcW w:w="3363" w:type="dxa"/>
          </w:tcPr>
          <w:p w:rsidR="00E06FE4" w:rsidRPr="00211529" w:rsidRDefault="00E06FE4" w:rsidP="00E06FE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10994">
              <w:rPr>
                <w:rFonts w:ascii="Times New Roman" w:hAnsi="Times New Roman" w:cs="Times New Roman"/>
                <w:sz w:val="18"/>
                <w:szCs w:val="18"/>
              </w:rPr>
              <w:t xml:space="preserve"> Чувашская Республика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Алатырский муниципальный округ, с.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Ялушево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ул. Школьная д. 16а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 w:rsidRPr="009F3A57"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E06FE4" w:rsidRPr="009F3A57" w:rsidTr="00A13D55">
        <w:tc>
          <w:tcPr>
            <w:tcW w:w="638" w:type="dxa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>Фельдшерско-акушерский пункт пос. Первомайский</w:t>
            </w:r>
          </w:p>
        </w:tc>
        <w:tc>
          <w:tcPr>
            <w:tcW w:w="3363" w:type="dxa"/>
          </w:tcPr>
          <w:p w:rsidR="00E06FE4" w:rsidRPr="00211529" w:rsidRDefault="00E06FE4" w:rsidP="00E06FE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Чувашск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 Республика,  Алатырский муниципальный округ</w:t>
            </w:r>
            <w:r w:rsidRPr="00B7298E">
              <w:rPr>
                <w:rFonts w:ascii="Times New Roman" w:hAnsi="Times New Roman" w:cs="Times New Roman"/>
                <w:sz w:val="18"/>
                <w:szCs w:val="18"/>
              </w:rPr>
              <w:t>, п. Первомайский</w:t>
            </w:r>
            <w:r w:rsidRPr="00211529">
              <w:rPr>
                <w:rFonts w:ascii="Times New Roman" w:hAnsi="Times New Roman" w:cs="Times New Roman"/>
                <w:sz w:val="18"/>
                <w:szCs w:val="18"/>
              </w:rPr>
              <w:t xml:space="preserve"> ул. Ленина д. 16</w:t>
            </w:r>
          </w:p>
        </w:tc>
        <w:tc>
          <w:tcPr>
            <w:tcW w:w="1418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E06FE4" w:rsidRPr="009F3A57" w:rsidRDefault="00E06FE4" w:rsidP="00E06F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18"/>
                <w:szCs w:val="18"/>
              </w:rPr>
              <w:t>20</w:t>
            </w:r>
          </w:p>
        </w:tc>
      </w:tr>
      <w:tr w:rsidR="009F3A57" w:rsidRPr="009F3A57" w:rsidTr="00A51A7E">
        <w:tc>
          <w:tcPr>
            <w:tcW w:w="9605" w:type="dxa"/>
            <w:gridSpan w:val="5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9F3A57">
              <w:rPr>
                <w:rFonts w:ascii="Times New Roman" w:eastAsia="Calibri" w:hAnsi="Times New Roman" w:cs="Times New Roman"/>
                <w:sz w:val="23"/>
                <w:szCs w:val="23"/>
              </w:rPr>
              <w:t>Раздел 3. Объекты спорта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</w:tr>
      <w:tr w:rsidR="009F3A57" w:rsidRPr="009F3A57" w:rsidTr="00A13D55">
        <w:tc>
          <w:tcPr>
            <w:tcW w:w="638" w:type="dxa"/>
          </w:tcPr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</w:rPr>
            </w:pPr>
          </w:p>
        </w:tc>
        <w:tc>
          <w:tcPr>
            <w:tcW w:w="2911" w:type="dxa"/>
          </w:tcPr>
          <w:p w:rsidR="009F3A57" w:rsidRPr="009F3A57" w:rsidRDefault="00E32E34" w:rsidP="00E32E34">
            <w:pP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Муниципальное автономное  учреждение дополнительного образования «Детско-юношеская спортивная школа» Алатырского муниципального округа  Чувашской Республики</w:t>
            </w: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ab/>
            </w:r>
          </w:p>
        </w:tc>
        <w:tc>
          <w:tcPr>
            <w:tcW w:w="3363" w:type="dxa"/>
          </w:tcPr>
          <w:p w:rsidR="00E32E34" w:rsidRPr="00E32E34" w:rsidRDefault="00E32E34" w:rsidP="00E32E34">
            <w:pP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 Чувашс</w:t>
            </w:r>
            <w:r w:rsidR="002D7C70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кая Республика, Алатырский муниципальный округ</w:t>
            </w:r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с</w:t>
            </w:r>
            <w:proofErr w:type="gramStart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.А</w:t>
            </w:r>
            <w:proofErr w:type="gramEnd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трать</w:t>
            </w:r>
            <w:proofErr w:type="spellEnd"/>
            <w:r w:rsidRPr="00E32E34"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,  ул. Пролетарская , д. 27а</w:t>
            </w:r>
          </w:p>
          <w:p w:rsidR="009F3A57" w:rsidRPr="009F3A57" w:rsidRDefault="009F3A57" w:rsidP="009F3A57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:rsidR="009F3A57" w:rsidRPr="00A13D55" w:rsidRDefault="00AB77F5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5" w:type="dxa"/>
            <w:vAlign w:val="center"/>
          </w:tcPr>
          <w:p w:rsidR="009F3A57" w:rsidRPr="00A13D55" w:rsidRDefault="00AB77F5" w:rsidP="009F3A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</w:pPr>
            <w:r>
              <w:rPr>
                <w:rFonts w:ascii="Times New Roman CYR" w:eastAsia="Calibri" w:hAnsi="Times New Roman CYR" w:cs="Times New Roman CYR"/>
                <w:color w:val="000000"/>
                <w:sz w:val="18"/>
                <w:szCs w:val="18"/>
              </w:rPr>
              <w:t>20</w:t>
            </w:r>
          </w:p>
        </w:tc>
      </w:tr>
    </w:tbl>
    <w:p w:rsidR="009F3A57" w:rsidRPr="009F3A57" w:rsidRDefault="009F3A57" w:rsidP="009F3A5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eastAsia="Calibri" w:hAnsi="Times New Roman CYR" w:cs="Times New Roman CYR"/>
          <w:color w:val="000000"/>
        </w:rPr>
      </w:pPr>
    </w:p>
    <w:p w:rsidR="009F3A57" w:rsidRDefault="009F3A57" w:rsidP="009F3A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3A57">
        <w:rPr>
          <w:rFonts w:ascii="Times New Roman CYR" w:eastAsia="Calibri" w:hAnsi="Times New Roman CYR" w:cs="Times New Roman CYR"/>
          <w:color w:val="000000"/>
        </w:rPr>
        <w:br w:type="textWrapping" w:clear="all"/>
      </w: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A57" w:rsidRPr="009F6D47" w:rsidRDefault="009F3A57" w:rsidP="009126E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9F3A57" w:rsidRPr="009F6D47" w:rsidSect="00AC52C3">
      <w:headerReference w:type="default" r:id="rId12"/>
      <w:pgSz w:w="11906" w:h="16838"/>
      <w:pgMar w:top="567" w:right="567" w:bottom="567" w:left="1134" w:header="426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7CB" w:rsidRDefault="00D817CB" w:rsidP="00AC52C3">
      <w:pPr>
        <w:spacing w:after="0" w:line="240" w:lineRule="auto"/>
      </w:pPr>
      <w:r>
        <w:separator/>
      </w:r>
    </w:p>
  </w:endnote>
  <w:endnote w:type="continuationSeparator" w:id="0">
    <w:p w:rsidR="00D817CB" w:rsidRDefault="00D817CB" w:rsidP="00AC52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7CB" w:rsidRDefault="00D817CB" w:rsidP="00AC52C3">
      <w:pPr>
        <w:spacing w:after="0" w:line="240" w:lineRule="auto"/>
      </w:pPr>
      <w:r>
        <w:separator/>
      </w:r>
    </w:p>
  </w:footnote>
  <w:footnote w:type="continuationSeparator" w:id="0">
    <w:p w:rsidR="00D817CB" w:rsidRDefault="00D817CB" w:rsidP="00AC52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409437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B7298E" w:rsidRPr="00AC52C3" w:rsidRDefault="00B7298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C52C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C52C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546B1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AC52C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B3237"/>
    <w:multiLevelType w:val="hybridMultilevel"/>
    <w:tmpl w:val="D4C2C2FC"/>
    <w:lvl w:ilvl="0" w:tplc="E766F34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2D2DEB"/>
    <w:multiLevelType w:val="hybridMultilevel"/>
    <w:tmpl w:val="8700A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3928F9"/>
    <w:multiLevelType w:val="hybridMultilevel"/>
    <w:tmpl w:val="5C0A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CD5D65"/>
    <w:multiLevelType w:val="hybridMultilevel"/>
    <w:tmpl w:val="7C8EF3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19F4F1B"/>
    <w:multiLevelType w:val="hybridMultilevel"/>
    <w:tmpl w:val="35009D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E4"/>
    <w:rsid w:val="000234D2"/>
    <w:rsid w:val="000542A1"/>
    <w:rsid w:val="000B08D2"/>
    <w:rsid w:val="000B0AE8"/>
    <w:rsid w:val="001005B7"/>
    <w:rsid w:val="00106CE5"/>
    <w:rsid w:val="00114101"/>
    <w:rsid w:val="00162FBE"/>
    <w:rsid w:val="0018342B"/>
    <w:rsid w:val="0019217D"/>
    <w:rsid w:val="00194EF7"/>
    <w:rsid w:val="001E5E12"/>
    <w:rsid w:val="001E6A1B"/>
    <w:rsid w:val="002022C9"/>
    <w:rsid w:val="00211529"/>
    <w:rsid w:val="0023363C"/>
    <w:rsid w:val="00235CA9"/>
    <w:rsid w:val="002373DC"/>
    <w:rsid w:val="00291D44"/>
    <w:rsid w:val="002B2B8E"/>
    <w:rsid w:val="002D7C70"/>
    <w:rsid w:val="003015F2"/>
    <w:rsid w:val="0033055E"/>
    <w:rsid w:val="00334164"/>
    <w:rsid w:val="00375813"/>
    <w:rsid w:val="00392264"/>
    <w:rsid w:val="003B2B91"/>
    <w:rsid w:val="003D2F82"/>
    <w:rsid w:val="00410994"/>
    <w:rsid w:val="00426989"/>
    <w:rsid w:val="00463314"/>
    <w:rsid w:val="004845B5"/>
    <w:rsid w:val="004E0705"/>
    <w:rsid w:val="004E5F62"/>
    <w:rsid w:val="005C732F"/>
    <w:rsid w:val="005E71A1"/>
    <w:rsid w:val="00623C8A"/>
    <w:rsid w:val="006262C4"/>
    <w:rsid w:val="006C287C"/>
    <w:rsid w:val="006F61E7"/>
    <w:rsid w:val="007075F9"/>
    <w:rsid w:val="00723C42"/>
    <w:rsid w:val="00734FDF"/>
    <w:rsid w:val="00745388"/>
    <w:rsid w:val="00767912"/>
    <w:rsid w:val="007845C1"/>
    <w:rsid w:val="007903CB"/>
    <w:rsid w:val="007923B7"/>
    <w:rsid w:val="008074D3"/>
    <w:rsid w:val="00883A5F"/>
    <w:rsid w:val="008B21D1"/>
    <w:rsid w:val="008F02D0"/>
    <w:rsid w:val="009126E4"/>
    <w:rsid w:val="00931368"/>
    <w:rsid w:val="00952A22"/>
    <w:rsid w:val="009546B1"/>
    <w:rsid w:val="009604FB"/>
    <w:rsid w:val="009657F1"/>
    <w:rsid w:val="009878BA"/>
    <w:rsid w:val="009E2AF6"/>
    <w:rsid w:val="009F3A57"/>
    <w:rsid w:val="009F6D47"/>
    <w:rsid w:val="00A13D55"/>
    <w:rsid w:val="00A431A9"/>
    <w:rsid w:val="00A51775"/>
    <w:rsid w:val="00A51A7E"/>
    <w:rsid w:val="00A56967"/>
    <w:rsid w:val="00AB77F5"/>
    <w:rsid w:val="00AC52C3"/>
    <w:rsid w:val="00B0140B"/>
    <w:rsid w:val="00B7298E"/>
    <w:rsid w:val="00C33F54"/>
    <w:rsid w:val="00CD7D65"/>
    <w:rsid w:val="00CF5413"/>
    <w:rsid w:val="00D03743"/>
    <w:rsid w:val="00D259AC"/>
    <w:rsid w:val="00D817CB"/>
    <w:rsid w:val="00D8711E"/>
    <w:rsid w:val="00DB499B"/>
    <w:rsid w:val="00DF70E1"/>
    <w:rsid w:val="00E04156"/>
    <w:rsid w:val="00E04B62"/>
    <w:rsid w:val="00E06FE4"/>
    <w:rsid w:val="00E2338D"/>
    <w:rsid w:val="00E32E34"/>
    <w:rsid w:val="00E65D42"/>
    <w:rsid w:val="00E718BC"/>
    <w:rsid w:val="00E7426B"/>
    <w:rsid w:val="00ED2419"/>
    <w:rsid w:val="00EF0BFD"/>
    <w:rsid w:val="00F42729"/>
    <w:rsid w:val="00FA7CD2"/>
    <w:rsid w:val="00FD4D32"/>
    <w:rsid w:val="00FE5ED2"/>
    <w:rsid w:val="00FF111F"/>
    <w:rsid w:val="00FF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  <w:style w:type="table" w:styleId="a9">
    <w:name w:val="Table Grid"/>
    <w:basedOn w:val="a1"/>
    <w:uiPriority w:val="59"/>
    <w:rsid w:val="009F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65D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uiPriority w:val="1"/>
    <w:qFormat/>
    <w:rsid w:val="008F02D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62FB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C52C3"/>
  </w:style>
  <w:style w:type="paragraph" w:styleId="a7">
    <w:name w:val="footer"/>
    <w:basedOn w:val="a"/>
    <w:link w:val="a8"/>
    <w:uiPriority w:val="99"/>
    <w:unhideWhenUsed/>
    <w:rsid w:val="00AC52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C52C3"/>
  </w:style>
  <w:style w:type="table" w:styleId="a9">
    <w:name w:val="Table Grid"/>
    <w:basedOn w:val="a1"/>
    <w:uiPriority w:val="59"/>
    <w:rsid w:val="009F3A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400120628/0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internet.garant.ru/document/redirect/10105489/160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78F58-376B-46E0-BAD2-8BD9BF48F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2095</Words>
  <Characters>11943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20</cp:revision>
  <cp:lastPrinted>2023-06-22T05:49:00Z</cp:lastPrinted>
  <dcterms:created xsi:type="dcterms:W3CDTF">2023-06-23T06:47:00Z</dcterms:created>
  <dcterms:modified xsi:type="dcterms:W3CDTF">2023-07-19T07:47:00Z</dcterms:modified>
</cp:coreProperties>
</file>