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СПРАВКА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78"/>
        <w:ind w:left="0" w:right="0" w:firstLine="0"/>
        <w:jc w:val="center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 результатах проведения публичных консультаций по проекту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закона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ind w:left="0" w:right="0" w:firstLine="0"/>
        <w:jc w:val="center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Чувашской Республики «Об обращении с животными без владельцев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ind w:firstLine="54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на территории Чувашской Республики»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jc w:val="center"/>
        <w:rPr>
          <w:rFonts w:ascii="PT Astra Serif" w:hAnsi="PT Astra Serif" w:eastAsia="PT Astra Serif" w:cs="PT Astra Serif"/>
          <w:b/>
          <w:bCs/>
          <w:sz w:val="24"/>
          <w:szCs w:val="24"/>
          <w14:ligatures w14:val="non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14:ligatures w14:val="none"/>
        </w:rPr>
      </w:r>
    </w:p>
    <w:p>
      <w:pPr>
        <w:jc w:val="center"/>
        <w:rPr>
          <w:rFonts w:ascii="PT Astra Serif" w:hAnsi="PT Astra Serif" w:eastAsia="PT Astra Serif" w:cs="PT Astra Serif"/>
          <w:b/>
          <w:bCs/>
          <w:sz w:val="24"/>
          <w:szCs w:val="24"/>
          <w14:ligatures w14:val="non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14:ligatures w14:val="none"/>
        </w:rPr>
      </w:r>
    </w:p>
    <w:p>
      <w:pPr>
        <w:pStyle w:val="878"/>
        <w:ind w:left="0" w:right="0" w:firstLine="0"/>
        <w:jc w:val="both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ab/>
      </w:r>
      <w:r>
        <w:rPr>
          <w:rFonts w:ascii="PT Astra Serif" w:hAnsi="PT Astra Serif" w:eastAsia="PT Astra Serif" w:cs="PT Astra Serif"/>
          <w:sz w:val="24"/>
          <w:szCs w:val="24"/>
        </w:rPr>
        <w:t xml:space="preserve">В соответствии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остановление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Кабинета Министров Ч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увашской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Р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еспублики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от 29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ноября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2012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г. №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532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«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 проведении оценки регулирующего воздействия проектов нормативных правовых актов Чувашской Республики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»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Гос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ударственной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вет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еринарной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службой Чуваш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ской Республики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проведены публичные консультации по проекту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закона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Чувашской Республики «Об обращении с животными без владельцев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на территории Чувашской Республики»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(далее – проект закона).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78"/>
        <w:ind w:firstLine="54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Проект закона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был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размещен на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Портале нормативных правовых актов Чувашской Республики по адресу: </w:t>
      </w:r>
      <w:r>
        <w:rPr>
          <w:rFonts w:ascii="PT Astra Serif" w:hAnsi="PT Astra Serif" w:eastAsia="PT Astra Serif" w:cs="PT Astra Serif"/>
          <w:sz w:val="24"/>
          <w:szCs w:val="24"/>
          <w:lang w:val="en-US"/>
        </w:rPr>
        <w:t xml:space="preserve">www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regulations.cap.ru в информационно-телекоммуникационной сети «Интернет»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17 июня 2024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г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: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hyperlink r:id="rId11" w:tooltip="https://nk.cap.ru/projects/8394" w:history="1">
        <w:r>
          <w:rPr>
            <w:rFonts w:ascii="PTAstraSerif" w:hAnsi="PTAstraSerif" w:eastAsia="PTAstraSerif" w:cs="PTAstraSerif"/>
            <w:b w:val="0"/>
            <w:i w:val="0"/>
            <w:strike w:val="0"/>
            <w:color w:val="0000ff"/>
            <w:sz w:val="24"/>
            <w:u w:val="single"/>
          </w:rPr>
          <w:t xml:space="preserve">https://nk.cap.ru/projects/8394</w:t>
        </w:r>
      </w:hyperlink>
      <w: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7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ab/>
      </w:r>
      <w:r>
        <w:rPr>
          <w:rFonts w:ascii="PT Astra Serif" w:hAnsi="PT Astra Serif" w:eastAsia="PT Astra Serif" w:cs="PT Astra Serif"/>
          <w:sz w:val="24"/>
          <w:szCs w:val="24"/>
        </w:rPr>
        <w:t xml:space="preserve">В период с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17 июня по 17 июля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2024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г. с субъектами малого и среднего предпринимательства, общественными объединениями предпринимателей по проекту закона проведены публичные консультации.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78"/>
        <w:ind w:firstLine="709"/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Извещение о проведении публичных консультаций направлено в Министерство экономического развития и имущественных отношений Чувашской Республики, Министерство сельского хозяйства Чувашской Республики, Министерство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финансов 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Чува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шской Республики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Уполномоченному по защите прав предпринимателей в Чувашской Республике,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рган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местного самоуправления муниципальных образований Чувашской Республики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 б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юджетны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учреждения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Чувашской Республи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ки, подведомственным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Госветслужбе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Чувашии, ИП Виденеев В.И.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 ИП Пименов В.Г., Благотворительный фонд защиты животных «Дог», ИП Терентьева Н.В., ИП Мадьянкин С.А., временному приюту на базе бюджетного учреждения Чувашской Республики «Чебоксарская районная станция по борьбе с болезнями животных» Госветслужбы Чувашии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, благотворительному фонду защиты животных «Умка».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В период проведения публичных консультаций из Администрации Главы Чувашской Республики поступило 120 обращений граждан по вопросу принятия законопроекта.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78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 ходе публичных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консультаций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полу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ч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ено замечаний и предложений от 134 участников публичных консультаций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Из них 4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участника замечаний и предложений не имеют.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т 130 участников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представлены предложения и замечания к проекту закона (сводка предложений на проект закона прилагается к настоящей Справке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). В ходе публичных консультаций не поступало предложений, которые были бы учтены в проекте закона.</w:t>
      </w:r>
      <w:r>
        <w:rPr>
          <w:rFonts w:ascii="PT Astra Serif" w:hAnsi="PT Astra Serif" w:eastAsia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7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34"/>
        <w:tblW w:w="0" w:type="auto"/>
        <w:tblLayout w:type="fixed"/>
        <w:tblLook w:val="04A0" w:firstRow="1" w:lastRow="0" w:firstColumn="1" w:lastColumn="0" w:noHBand="0" w:noVBand="1"/>
      </w:tblPr>
      <w:tblGrid>
        <w:gridCol w:w="3368"/>
        <w:gridCol w:w="4677"/>
        <w:gridCol w:w="158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8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Руководитель Государственной ветеринарной службы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left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11790" cy="1170589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910062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711790" cy="11705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3.53pt;height:92.17pt;mso-wrap-distance-left:0.00pt;mso-wrap-distance-top:0.00pt;mso-wrap-distance-right:0.00pt;mso-wrap-distance-bottom:0.00pt;rotation:0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А.В. Шакин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7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794" w:bottom="426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AstraSerif">
    <w:panose1 w:val="020A0603040505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TimesEC">
    <w:panose1 w:val="02000603000000000000"/>
  </w:font>
  <w:font w:name="0">
    <w:panose1 w:val="02000603000000000000"/>
  </w:font>
  <w:font w:name="TimesET">
    <w:panose1 w:val="02000603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jc w:val="both"/>
      <w:keepNext/>
      <w:outlineLvl w:val="0"/>
    </w:pPr>
    <w:rPr>
      <w:sz w:val="28"/>
    </w:rPr>
  </w:style>
  <w:style w:type="paragraph" w:styleId="880">
    <w:name w:val="Заголовок 2"/>
    <w:basedOn w:val="878"/>
    <w:next w:val="878"/>
    <w:link w:val="878"/>
    <w:qFormat/>
    <w:pPr>
      <w:jc w:val="center"/>
      <w:keepNext/>
      <w:outlineLvl w:val="1"/>
    </w:pPr>
    <w:rPr>
      <w:sz w:val="28"/>
    </w:rPr>
  </w:style>
  <w:style w:type="paragraph" w:styleId="881">
    <w:name w:val="Заголовок 3"/>
    <w:basedOn w:val="878"/>
    <w:next w:val="878"/>
    <w:link w:val="878"/>
    <w:qFormat/>
    <w:pPr>
      <w:jc w:val="center"/>
      <w:keepNext/>
      <w:outlineLvl w:val="2"/>
    </w:pPr>
  </w:style>
  <w:style w:type="paragraph" w:styleId="882">
    <w:name w:val="Заголовок 4"/>
    <w:basedOn w:val="878"/>
    <w:next w:val="878"/>
    <w:link w:val="878"/>
    <w:qFormat/>
    <w:pPr>
      <w:ind w:left="317" w:right="-207"/>
      <w:jc w:val="right"/>
      <w:keepNext/>
      <w:tabs>
        <w:tab w:val="left" w:pos="2585" w:leader="none"/>
      </w:tabs>
      <w:outlineLvl w:val="3"/>
    </w:pPr>
    <w:rPr>
      <w:spacing w:val="100"/>
      <w:sz w:val="36"/>
    </w:rPr>
  </w:style>
  <w:style w:type="paragraph" w:styleId="883">
    <w:name w:val="Заголовок 5"/>
    <w:basedOn w:val="878"/>
    <w:next w:val="878"/>
    <w:link w:val="878"/>
    <w:qFormat/>
    <w:pPr>
      <w:jc w:val="center"/>
      <w:keepNext/>
      <w:outlineLvl w:val="4"/>
    </w:pPr>
    <w:rPr>
      <w:sz w:val="36"/>
    </w:rPr>
  </w:style>
  <w:style w:type="paragraph" w:styleId="884">
    <w:name w:val="Заголовок 6"/>
    <w:basedOn w:val="878"/>
    <w:next w:val="878"/>
    <w:link w:val="878"/>
    <w:qFormat/>
    <w:pPr>
      <w:keepNext/>
      <w:outlineLvl w:val="5"/>
    </w:pPr>
    <w:rPr>
      <w:sz w:val="24"/>
    </w:rPr>
  </w:style>
  <w:style w:type="paragraph" w:styleId="885">
    <w:name w:val="Заголовок 7"/>
    <w:basedOn w:val="878"/>
    <w:next w:val="878"/>
    <w:link w:val="878"/>
    <w:qFormat/>
    <w:pPr>
      <w:jc w:val="center"/>
      <w:keepNext/>
      <w:outlineLvl w:val="6"/>
    </w:pPr>
    <w:rPr>
      <w:b/>
      <w:sz w:val="24"/>
    </w:rPr>
  </w:style>
  <w:style w:type="paragraph" w:styleId="886">
    <w:name w:val="Заголовок 8"/>
    <w:basedOn w:val="878"/>
    <w:next w:val="878"/>
    <w:link w:val="878"/>
    <w:qFormat/>
    <w:pPr>
      <w:ind w:right="-65"/>
      <w:jc w:val="center"/>
      <w:keepNext/>
      <w:tabs>
        <w:tab w:val="left" w:pos="2585" w:leader="none"/>
      </w:tabs>
      <w:outlineLvl w:val="7"/>
    </w:pPr>
    <w:rPr>
      <w:b/>
      <w:sz w:val="24"/>
    </w:rPr>
  </w:style>
  <w:style w:type="character" w:styleId="887">
    <w:name w:val="Основной шрифт абзаца"/>
    <w:next w:val="887"/>
    <w:link w:val="878"/>
    <w:semiHidden/>
  </w:style>
  <w:style w:type="table" w:styleId="888">
    <w:name w:val="Обычная таблица"/>
    <w:next w:val="888"/>
    <w:link w:val="878"/>
    <w:semiHidden/>
    <w:tblPr/>
  </w:style>
  <w:style w:type="numbering" w:styleId="889">
    <w:name w:val="Нет списка"/>
    <w:next w:val="889"/>
    <w:link w:val="878"/>
    <w:semiHidden/>
  </w:style>
  <w:style w:type="paragraph" w:styleId="890">
    <w:name w:val="заголовок 1"/>
    <w:basedOn w:val="878"/>
    <w:next w:val="878"/>
    <w:link w:val="878"/>
    <w:pPr>
      <w:jc w:val="center"/>
      <w:keepNext/>
    </w:pPr>
    <w:rPr>
      <w:rFonts w:ascii="TimesET" w:hAnsi="TimesET"/>
      <w:sz w:val="24"/>
    </w:rPr>
  </w:style>
  <w:style w:type="paragraph" w:styleId="891">
    <w:name w:val="заголовок 2"/>
    <w:basedOn w:val="878"/>
    <w:next w:val="878"/>
    <w:link w:val="878"/>
    <w:pPr>
      <w:jc w:val="both"/>
      <w:keepNext/>
    </w:pPr>
    <w:rPr>
      <w:rFonts w:ascii="TimesEC" w:hAnsi="TimesEC"/>
      <w:sz w:val="24"/>
    </w:rPr>
  </w:style>
  <w:style w:type="paragraph" w:styleId="892">
    <w:name w:val="Основной текст"/>
    <w:basedOn w:val="878"/>
    <w:next w:val="892"/>
    <w:link w:val="878"/>
    <w:pPr>
      <w:jc w:val="both"/>
    </w:pPr>
    <w:rPr>
      <w:sz w:val="28"/>
    </w:rPr>
  </w:style>
  <w:style w:type="paragraph" w:styleId="893">
    <w:name w:val="Текст выноски"/>
    <w:basedOn w:val="878"/>
    <w:next w:val="893"/>
    <w:link w:val="878"/>
    <w:semiHidden/>
    <w:rPr>
      <w:rFonts w:ascii="Tahoma" w:hAnsi="Tahoma" w:cs="Tahoma"/>
      <w:sz w:val="16"/>
      <w:szCs w:val="16"/>
    </w:rPr>
  </w:style>
  <w:style w:type="character" w:styleId="894">
    <w:name w:val="Гиперссылка"/>
    <w:next w:val="894"/>
    <w:link w:val="878"/>
    <w:rPr>
      <w:color w:val="000000"/>
      <w:u w:val="none"/>
    </w:rPr>
  </w:style>
  <w:style w:type="paragraph" w:styleId="895">
    <w:name w:val="Основной текст 2"/>
    <w:basedOn w:val="878"/>
    <w:next w:val="895"/>
    <w:link w:val="878"/>
    <w:pPr>
      <w:spacing w:after="120" w:line="480" w:lineRule="auto"/>
    </w:pPr>
  </w:style>
  <w:style w:type="paragraph" w:styleId="896">
    <w:name w:val="Normal1"/>
    <w:next w:val="896"/>
    <w:link w:val="878"/>
    <w:rPr>
      <w:sz w:val="24"/>
      <w:lang w:val="ru-RU" w:eastAsia="ru-RU" w:bidi="ar-SA"/>
    </w:rPr>
  </w:style>
  <w:style w:type="paragraph" w:styleId="897">
    <w:name w:val="Верхний колонтитул"/>
    <w:basedOn w:val="878"/>
    <w:next w:val="897"/>
    <w:link w:val="902"/>
    <w:uiPriority w:val="99"/>
    <w:pPr>
      <w:tabs>
        <w:tab w:val="center" w:pos="4677" w:leader="none"/>
        <w:tab w:val="right" w:pos="9355" w:leader="none"/>
      </w:tabs>
    </w:pPr>
  </w:style>
  <w:style w:type="character" w:styleId="898">
    <w:name w:val="Номер страницы"/>
    <w:basedOn w:val="887"/>
    <w:next w:val="898"/>
    <w:link w:val="878"/>
  </w:style>
  <w:style w:type="paragraph" w:styleId="899">
    <w:name w:val="ConsPlusNormal"/>
    <w:next w:val="899"/>
    <w:link w:val="878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0">
    <w:name w:val="Нижний колонтитул"/>
    <w:basedOn w:val="878"/>
    <w:next w:val="900"/>
    <w:link w:val="901"/>
    <w:pPr>
      <w:tabs>
        <w:tab w:val="center" w:pos="4677" w:leader="none"/>
        <w:tab w:val="right" w:pos="9355" w:leader="none"/>
      </w:tabs>
    </w:pPr>
  </w:style>
  <w:style w:type="character" w:styleId="901">
    <w:name w:val="Нижний колонтитул Знак"/>
    <w:basedOn w:val="887"/>
    <w:next w:val="901"/>
    <w:link w:val="900"/>
  </w:style>
  <w:style w:type="character" w:styleId="902">
    <w:name w:val="Верхний колонтитул Знак"/>
    <w:next w:val="902"/>
    <w:link w:val="897"/>
    <w:uiPriority w:val="99"/>
  </w:style>
  <w:style w:type="character" w:styleId="903">
    <w:name w:val="Просмотренная гиперссылка"/>
    <w:next w:val="903"/>
    <w:link w:val="878"/>
    <w:rPr>
      <w:color w:val="800080"/>
      <w:u w:val="single"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  <w:style w:type="paragraph" w:styleId="90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0" w:hAnsi="0" w:eastAsia="0" w:cs="0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nk.cap.ru/projects/8394" TargetMode="External"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MFEnterprises, Inc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Республикин</dc:title>
  <dc:creator>obrazov37</dc:creator>
  <cp:revision>13</cp:revision>
  <dcterms:created xsi:type="dcterms:W3CDTF">2019-11-08T05:01:00Z</dcterms:created>
  <dcterms:modified xsi:type="dcterms:W3CDTF">2024-07-26T07:28:34Z</dcterms:modified>
  <cp:version>917504</cp:version>
</cp:coreProperties>
</file>