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 w:afterAutospacing="0"/>
      </w:pPr>
      <w:r/>
      <w:r/>
    </w:p>
    <w:p>
      <w:pPr>
        <w:spacing w:after="0" w:afterAutospacing="0"/>
      </w:pPr>
      <w:r/>
      <w:r/>
    </w:p>
    <w:p>
      <w:pPr>
        <w:spacing w:after="0" w:afterAutospacing="0"/>
      </w:pPr>
      <w:r/>
      <w:r/>
    </w:p>
    <w:p>
      <w:pPr>
        <w:spacing w:after="0" w:afterAutospacing="0"/>
      </w:pPr>
      <w:r/>
      <w:r/>
    </w:p>
    <w:p>
      <w:pPr>
        <w:spacing w:after="0" w:afterAutospacing="0"/>
      </w:pPr>
      <w:r/>
      <w:r/>
    </w:p>
    <w:p>
      <w:pPr>
        <w:spacing w:after="0" w:afterAutospacing="0"/>
      </w:pPr>
      <w:r/>
      <w:r/>
    </w:p>
    <w:p>
      <w:pPr>
        <w:spacing w:after="0" w:afterAutospacing="0"/>
      </w:pPr>
      <w:r/>
      <w:r/>
    </w:p>
    <w:p>
      <w:pPr>
        <w:spacing w:after="0" w:afterAutospacing="0"/>
      </w:pPr>
      <w:r/>
      <w:r/>
    </w:p>
    <w:p>
      <w:pPr>
        <w:spacing w:after="0" w:afterAutospacing="0"/>
      </w:pPr>
      <w:r/>
      <w:r/>
    </w:p>
    <w:p>
      <w:pPr>
        <w:spacing w:after="0" w:afterAutospacing="0"/>
      </w:pPr>
      <w:r/>
      <w:r/>
    </w:p>
    <w:p>
      <w:pPr>
        <w:spacing w:after="0" w:afterAutospacing="0"/>
      </w:pPr>
      <w:r/>
      <w:r/>
    </w:p>
    <w:tbl>
      <w:tblPr>
        <w:tblW w:w="9996" w:type="dxa"/>
        <w:tblLook w:val="04A0" w:firstRow="1" w:lastRow="0" w:firstColumn="1" w:lastColumn="0" w:noHBand="0" w:noVBand="1"/>
      </w:tblPr>
      <w:tblGrid>
        <w:gridCol w:w="4928"/>
        <w:gridCol w:w="5068"/>
      </w:tblGrid>
      <w:tr>
        <w:tblPrEx/>
        <w:trPr/>
        <w:tc>
          <w:tcPr>
            <w:shd w:val="clear" w:color="ffffff" w:fill="ffffff"/>
            <w:tcW w:w="4928" w:type="dxa"/>
            <w:textDirection w:val="lrTb"/>
            <w:noWrap w:val="false"/>
          </w:tcPr>
          <w:p>
            <w:pPr>
              <w:ind w:right="0"/>
              <w:spacing w:after="0" w:afterAutospacing="0" w:line="240" w:lineRule="auto"/>
              <w:rPr>
                <w:rFonts w:ascii="PT Serif" w:hAnsi="PT Serif" w:cs="PT Serif"/>
                <w:b/>
                <w:sz w:val="24"/>
                <w:szCs w:val="24"/>
              </w:rPr>
              <w:suppressLineNumbers w:val="0"/>
            </w:pPr>
            <w:r>
              <w:rPr>
                <w:rFonts w:ascii="PT Serif" w:hAnsi="PT Serif" w:eastAsia="PT Serif" w:cs="PT Serif"/>
                <w:b/>
                <w:sz w:val="24"/>
                <w:szCs w:val="24"/>
              </w:rPr>
            </w:r>
            <w:r>
              <w:rPr>
                <w:rFonts w:ascii="PT Serif" w:hAnsi="PT Serif" w:cs="PT Serif"/>
                <w:b/>
                <w:sz w:val="24"/>
                <w:szCs w:val="24"/>
              </w:rPr>
            </w:r>
            <w:r>
              <w:rPr>
                <w:rFonts w:ascii="PT Serif" w:hAnsi="PT Serif" w:cs="PT Serif"/>
                <w:b/>
                <w:sz w:val="24"/>
                <w:szCs w:val="24"/>
              </w:rPr>
            </w:r>
          </w:p>
          <w:p>
            <w:pPr>
              <w:ind w:right="0"/>
              <w:jc w:val="both"/>
              <w:spacing w:after="0" w:afterAutospacing="0" w:line="240" w:lineRule="auto"/>
              <w:rPr>
                <w:rFonts w:ascii="PT Serif" w:hAnsi="PT Serif" w:eastAsia="PT Serif" w:cs="PT Serif"/>
                <w:b/>
                <w:bCs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PT Serif" w:hAnsi="PT Serif" w:eastAsia="PT Serif" w:cs="PT Serif"/>
                <w:sz w:val="24"/>
                <w:szCs w:val="24"/>
              </w:rPr>
            </w:r>
            <w:bookmarkStart w:id="0" w:name="undefined"/>
            <w:r>
              <w:rPr>
                <w:rFonts w:ascii="PT Serif" w:hAnsi="PT Serif" w:eastAsia="PT Serif" w:cs="PT Serif"/>
                <w:b/>
                <w:sz w:val="24"/>
                <w:szCs w:val="24"/>
              </w:rPr>
              <w:t xml:space="preserve">О комиссии по межведомственному взаимодействию в области </w:t>
            </w:r>
            <w:r>
              <w:rPr>
                <w:rFonts w:ascii="PT Serif" w:hAnsi="PT Serif" w:eastAsia="PT Serif" w:cs="PT Serif"/>
                <w:b/>
                <w:sz w:val="24"/>
                <w:szCs w:val="24"/>
              </w:rPr>
              <w:t xml:space="preserve">социальной занятости инвалидов</w:t>
            </w:r>
            <w:bookmarkEnd w:id="0"/>
            <w:r>
              <w:rPr>
                <w:rFonts w:ascii="PT Serif" w:hAnsi="PT Serif" w:eastAsia="PT Serif" w:cs="PT Serif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PT Serif" w:hAnsi="PT Serif" w:eastAsia="PT Serif" w:cs="PT Serif"/>
                <w:b/>
                <w:bCs/>
                <w:sz w:val="24"/>
                <w:szCs w:val="24"/>
                <w:highlight w:val="none"/>
              </w:rPr>
            </w:r>
          </w:p>
          <w:p>
            <w:pPr>
              <w:ind w:right="0"/>
              <w:jc w:val="both"/>
              <w:spacing w:after="0" w:afterAutospacing="0" w:line="240" w:lineRule="auto"/>
              <w:rPr>
                <w:rFonts w:ascii="PT Serif" w:hAnsi="PT Serif" w:cs="PT Serif"/>
                <w:b/>
                <w:bCs/>
                <w:sz w:val="24"/>
                <w:szCs w:val="24"/>
              </w:rPr>
              <w:suppressLineNumbers w:val="0"/>
            </w:pPr>
            <w:r>
              <w:rPr>
                <w:rFonts w:ascii="PT Serif" w:hAnsi="PT Serif" w:eastAsia="PT Serif" w:cs="PT Serif"/>
                <w:b/>
                <w:sz w:val="24"/>
                <w:szCs w:val="24"/>
                <w:highlight w:val="none"/>
              </w:rPr>
            </w:r>
            <w:r>
              <w:rPr>
                <w:rFonts w:ascii="PT Serif" w:hAnsi="PT Serif" w:cs="PT Serif"/>
                <w:b/>
                <w:bCs/>
                <w:sz w:val="24"/>
                <w:szCs w:val="24"/>
              </w:rPr>
            </w:r>
            <w:r>
              <w:rPr>
                <w:rFonts w:ascii="PT Serif" w:hAnsi="PT Serif" w:cs="PT Serif"/>
                <w:b/>
                <w:bCs/>
                <w:sz w:val="24"/>
                <w:szCs w:val="24"/>
              </w:rPr>
            </w:r>
          </w:p>
          <w:p>
            <w:pPr>
              <w:ind w:right="0"/>
              <w:jc w:val="both"/>
              <w:spacing w:after="0" w:afterAutospacing="0" w:line="240" w:lineRule="auto"/>
              <w:rPr>
                <w:rFonts w:ascii="PT Serif" w:hAnsi="PT Serif" w:cs="PT Serif"/>
                <w:b/>
                <w:sz w:val="24"/>
                <w:szCs w:val="24"/>
              </w:rPr>
              <w:suppressLineNumbers w:val="0"/>
            </w:pPr>
            <w:r>
              <w:rPr>
                <w:rFonts w:ascii="PT Serif" w:hAnsi="PT Serif" w:eastAsia="PT Serif" w:cs="PT Serif"/>
                <w:b/>
                <w:sz w:val="24"/>
                <w:szCs w:val="24"/>
              </w:rPr>
            </w:r>
            <w:r>
              <w:rPr>
                <w:rFonts w:ascii="PT Serif" w:hAnsi="PT Serif" w:cs="PT Serif"/>
                <w:b/>
                <w:sz w:val="24"/>
                <w:szCs w:val="24"/>
              </w:rPr>
            </w:r>
            <w:r>
              <w:rPr>
                <w:rFonts w:ascii="PT Serif" w:hAnsi="PT Serif" w:cs="PT Serif"/>
                <w:b/>
                <w:sz w:val="24"/>
                <w:szCs w:val="24"/>
              </w:rPr>
            </w:r>
          </w:p>
        </w:tc>
        <w:tc>
          <w:tcPr>
            <w:shd w:val="clear" w:color="ffffff" w:fill="ffffff"/>
            <w:tcW w:w="5068" w:type="dxa"/>
            <w:textDirection w:val="lrTb"/>
            <w:noWrap w:val="false"/>
          </w:tcPr>
          <w:p>
            <w:pPr>
              <w:ind w:right="0"/>
              <w:spacing w:after="0" w:afterAutospacing="0" w:line="240" w:lineRule="auto"/>
              <w:rPr>
                <w:rFonts w:ascii="PT Serif" w:hAnsi="PT Serif" w:cs="PT Serif"/>
                <w:b/>
                <w:sz w:val="24"/>
                <w:szCs w:val="24"/>
              </w:rPr>
              <w:suppressLineNumbers w:val="0"/>
            </w:pPr>
            <w:r>
              <w:rPr>
                <w:rFonts w:ascii="PT Serif" w:hAnsi="PT Serif" w:eastAsia="PT Serif" w:cs="PT Serif"/>
                <w:b/>
                <w:sz w:val="24"/>
                <w:szCs w:val="24"/>
              </w:rPr>
            </w:r>
            <w:r>
              <w:rPr>
                <w:rFonts w:ascii="PT Serif" w:hAnsi="PT Serif" w:cs="PT Serif"/>
                <w:b/>
                <w:sz w:val="24"/>
                <w:szCs w:val="24"/>
              </w:rPr>
            </w:r>
            <w:r>
              <w:rPr>
                <w:rFonts w:ascii="PT Serif" w:hAnsi="PT Serif" w:cs="PT Serif"/>
                <w:b/>
                <w:sz w:val="24"/>
                <w:szCs w:val="24"/>
              </w:rPr>
            </w:r>
          </w:p>
        </w:tc>
      </w:tr>
    </w:tbl>
    <w:p>
      <w:pPr>
        <w:ind w:right="0" w:firstLine="709"/>
        <w:jc w:val="both"/>
        <w:spacing w:after="0" w:afterAutospacing="0" w:line="240" w:lineRule="auto"/>
        <w:rPr>
          <w:rFonts w:ascii="PT Serif" w:hAnsi="PT Serif" w:cs="PT Serif"/>
          <w:sz w:val="24"/>
          <w:szCs w:val="24"/>
        </w:rPr>
        <w:suppressLineNumbers w:val="0"/>
      </w:pPr>
      <w:r>
        <w:rPr>
          <w:rFonts w:ascii="PT Serif" w:hAnsi="PT Serif" w:eastAsia="PT Serif" w:cs="PT Serif"/>
          <w:bCs/>
          <w:sz w:val="24"/>
          <w:szCs w:val="24"/>
        </w:rPr>
      </w:r>
      <w:r>
        <w:rPr>
          <w:rFonts w:ascii="PT Serif" w:hAnsi="PT Serif" w:eastAsia="PT Serif" w:cs="PT Serif"/>
          <w:color w:val="000000" w:themeColor="text1"/>
          <w:sz w:val="24"/>
          <w:szCs w:val="24"/>
          <w:highlight w:val="white"/>
        </w:rPr>
        <w:t xml:space="preserve">Кабинет Министров Чувашской Республики </w:t>
      </w:r>
      <w:r>
        <w:rPr>
          <w:rFonts w:ascii="PT Serif" w:hAnsi="PT Serif" w:eastAsia="PT Serif" w:cs="PT Serif"/>
          <w:color w:val="000000" w:themeColor="text1"/>
          <w:sz w:val="24"/>
          <w:szCs w:val="24"/>
          <w:highlight w:val="white"/>
        </w:rPr>
        <w:t xml:space="preserve">  п</w:t>
      </w:r>
      <w:r>
        <w:rPr>
          <w:rFonts w:ascii="PT Serif" w:hAnsi="PT Serif" w:eastAsia="PT Serif" w:cs="PT Serif"/>
          <w:color w:val="000000" w:themeColor="text1"/>
          <w:sz w:val="24"/>
          <w:szCs w:val="24"/>
          <w:highlight w:val="white"/>
        </w:rPr>
        <w:t xml:space="preserve"> о с т а н о в л я е т:</w:t>
      </w:r>
      <w:r>
        <w:rPr>
          <w:rFonts w:ascii="PT Serif" w:hAnsi="PT Serif" w:cs="PT Serif"/>
          <w:sz w:val="24"/>
          <w:szCs w:val="24"/>
        </w:rPr>
      </w:r>
      <w:r>
        <w:rPr>
          <w:rFonts w:ascii="PT Serif" w:hAnsi="PT Serif" w:cs="PT Serif"/>
          <w:sz w:val="24"/>
          <w:szCs w:val="24"/>
        </w:rPr>
      </w:r>
    </w:p>
    <w:p>
      <w:pPr>
        <w:numPr>
          <w:ilvl w:val="0"/>
          <w:numId w:val="1"/>
        </w:numPr>
        <w:ind w:left="0" w:right="0" w:firstLine="709"/>
        <w:jc w:val="both"/>
        <w:spacing w:after="0" w:afterAutospacing="0" w:line="240" w:lineRule="auto"/>
        <w:rPr>
          <w:rFonts w:ascii="PT Serif" w:hAnsi="PT Serif" w:cs="PT Serif"/>
          <w:sz w:val="24"/>
          <w:szCs w:val="24"/>
        </w:rPr>
        <w:suppressLineNumbers w:val="0"/>
      </w:pPr>
      <w:r>
        <w:rPr>
          <w:rFonts w:ascii="PT Serif" w:hAnsi="PT Serif" w:eastAsia="PT Serif" w:cs="PT Serif"/>
          <w:sz w:val="24"/>
          <w:szCs w:val="24"/>
        </w:rPr>
        <w:t xml:space="preserve">Создать комиссию по межведомственному взаимодействию в области социальной занятости инвалидов.</w:t>
      </w:r>
      <w:r>
        <w:rPr>
          <w:rFonts w:ascii="PT Serif" w:hAnsi="PT Serif" w:cs="PT Serif"/>
          <w:sz w:val="24"/>
          <w:szCs w:val="24"/>
        </w:rPr>
      </w:r>
      <w:r>
        <w:rPr>
          <w:rFonts w:ascii="PT Serif" w:hAnsi="PT Serif" w:cs="PT Serif"/>
          <w:sz w:val="24"/>
          <w:szCs w:val="24"/>
        </w:rPr>
      </w:r>
    </w:p>
    <w:p>
      <w:pPr>
        <w:numPr>
          <w:ilvl w:val="0"/>
          <w:numId w:val="1"/>
        </w:numPr>
        <w:ind w:left="0" w:right="0" w:firstLine="709"/>
        <w:jc w:val="both"/>
        <w:spacing w:after="0" w:afterAutospacing="0" w:line="240" w:lineRule="auto"/>
        <w:rPr>
          <w:rFonts w:ascii="PT Serif" w:hAnsi="PT Serif" w:cs="PT Serif"/>
          <w:sz w:val="24"/>
          <w:szCs w:val="24"/>
        </w:rPr>
        <w:suppressLineNumbers w:val="0"/>
      </w:pPr>
      <w:r>
        <w:rPr>
          <w:rFonts w:ascii="PT Serif" w:hAnsi="PT Serif" w:eastAsia="PT Serif" w:cs="PT Serif"/>
          <w:sz w:val="24"/>
          <w:szCs w:val="24"/>
        </w:rPr>
        <w:t xml:space="preserve">Утвердить прилагаемый Регламент работы комиссии по межведомственному взаимодействию в области социальной занятости инвалидов.</w:t>
      </w:r>
      <w:r>
        <w:rPr>
          <w:rFonts w:ascii="PT Serif" w:hAnsi="PT Serif" w:cs="PT Serif"/>
          <w:sz w:val="24"/>
          <w:szCs w:val="24"/>
        </w:rPr>
      </w:r>
      <w:r>
        <w:rPr>
          <w:rFonts w:ascii="PT Serif" w:hAnsi="PT Serif" w:cs="PT Serif"/>
          <w:sz w:val="24"/>
          <w:szCs w:val="24"/>
        </w:rPr>
      </w:r>
    </w:p>
    <w:p>
      <w:pPr>
        <w:numPr>
          <w:ilvl w:val="0"/>
          <w:numId w:val="1"/>
        </w:numPr>
        <w:ind w:left="0" w:right="0" w:firstLine="709"/>
        <w:jc w:val="both"/>
        <w:spacing w:after="0" w:afterAutospacing="0" w:line="240" w:lineRule="auto"/>
        <w:rPr>
          <w:rFonts w:ascii="PT Serif" w:hAnsi="PT Serif" w:cs="PT Serif"/>
          <w:sz w:val="24"/>
          <w:szCs w:val="24"/>
        </w:rPr>
        <w:suppressLineNumbers w:val="0"/>
      </w:pPr>
      <w:r>
        <w:rPr>
          <w:rFonts w:ascii="PT Serif" w:hAnsi="PT Serif" w:eastAsia="PT Serif" w:cs="PT Serif"/>
          <w:sz w:val="24"/>
          <w:szCs w:val="24"/>
        </w:rPr>
        <w:t xml:space="preserve">Настоящее постановление вступает в силу со дня его официального опубликования.</w:t>
      </w:r>
      <w:r>
        <w:rPr>
          <w:rFonts w:ascii="PT Serif" w:hAnsi="PT Serif" w:cs="PT Serif"/>
          <w:sz w:val="24"/>
          <w:szCs w:val="24"/>
        </w:rPr>
      </w:r>
      <w:r>
        <w:rPr>
          <w:rFonts w:ascii="PT Serif" w:hAnsi="PT Serif" w:cs="PT Serif"/>
          <w:sz w:val="24"/>
          <w:szCs w:val="24"/>
        </w:rPr>
      </w:r>
    </w:p>
    <w:p>
      <w:pPr>
        <w:ind w:right="0" w:firstLine="709"/>
        <w:jc w:val="both"/>
        <w:spacing w:after="0" w:afterAutospacing="0" w:line="240" w:lineRule="auto"/>
        <w:rPr>
          <w:rFonts w:ascii="PT Serif" w:hAnsi="PT Serif" w:cs="PT Serif"/>
          <w:sz w:val="24"/>
          <w:szCs w:val="24"/>
        </w:rPr>
        <w:suppressLineNumbers w:val="0"/>
      </w:pPr>
      <w:r>
        <w:rPr>
          <w:rFonts w:ascii="PT Serif" w:hAnsi="PT Serif" w:eastAsia="PT Serif" w:cs="PT Serif"/>
          <w:sz w:val="24"/>
          <w:szCs w:val="24"/>
        </w:rPr>
      </w:r>
      <w:r>
        <w:rPr>
          <w:rFonts w:ascii="PT Serif" w:hAnsi="PT Serif" w:cs="PT Serif"/>
          <w:sz w:val="24"/>
          <w:szCs w:val="24"/>
        </w:rPr>
      </w:r>
      <w:r>
        <w:rPr>
          <w:rFonts w:ascii="PT Serif" w:hAnsi="PT Serif" w:cs="PT Serif"/>
          <w:sz w:val="24"/>
          <w:szCs w:val="24"/>
        </w:rPr>
      </w:r>
    </w:p>
    <w:p>
      <w:pPr>
        <w:ind w:right="0" w:firstLine="709"/>
        <w:jc w:val="both"/>
        <w:spacing w:after="0" w:afterAutospacing="0" w:line="240" w:lineRule="auto"/>
        <w:rPr>
          <w:rFonts w:ascii="PT Serif" w:hAnsi="PT Serif" w:cs="PT Serif"/>
          <w:sz w:val="24"/>
          <w:szCs w:val="24"/>
        </w:rPr>
        <w:suppressLineNumbers w:val="0"/>
      </w:pPr>
      <w:r>
        <w:rPr>
          <w:rFonts w:ascii="PT Serif" w:hAnsi="PT Serif" w:eastAsia="PT Serif" w:cs="PT Serif"/>
          <w:sz w:val="24"/>
          <w:szCs w:val="24"/>
        </w:rPr>
      </w:r>
      <w:r>
        <w:rPr>
          <w:rFonts w:ascii="PT Serif" w:hAnsi="PT Serif" w:cs="PT Serif"/>
          <w:sz w:val="24"/>
          <w:szCs w:val="24"/>
        </w:rPr>
      </w:r>
      <w:r>
        <w:rPr>
          <w:rFonts w:ascii="PT Serif" w:hAnsi="PT Serif" w:cs="PT Serif"/>
          <w:sz w:val="24"/>
          <w:szCs w:val="24"/>
        </w:rPr>
      </w:r>
    </w:p>
    <w:p>
      <w:pPr>
        <w:ind w:right="0" w:firstLine="709"/>
        <w:jc w:val="both"/>
        <w:spacing w:after="0" w:afterAutospacing="0" w:line="240" w:lineRule="auto"/>
        <w:rPr>
          <w:rFonts w:ascii="PT Serif" w:hAnsi="PT Serif" w:cs="PT Serif"/>
          <w:sz w:val="24"/>
          <w:szCs w:val="24"/>
        </w:rPr>
        <w:suppressLineNumbers w:val="0"/>
      </w:pPr>
      <w:r>
        <w:rPr>
          <w:rFonts w:ascii="PT Serif" w:hAnsi="PT Serif" w:eastAsia="PT Serif" w:cs="PT Serif"/>
          <w:sz w:val="24"/>
          <w:szCs w:val="24"/>
        </w:rPr>
      </w:r>
      <w:r>
        <w:rPr>
          <w:rFonts w:ascii="PT Serif" w:hAnsi="PT Serif" w:cs="PT Serif"/>
          <w:sz w:val="24"/>
          <w:szCs w:val="24"/>
        </w:rPr>
      </w:r>
      <w:r>
        <w:rPr>
          <w:rFonts w:ascii="PT Serif" w:hAnsi="PT Serif" w:cs="PT Serif"/>
          <w:sz w:val="24"/>
          <w:szCs w:val="24"/>
        </w:rPr>
      </w:r>
    </w:p>
    <w:p>
      <w:pPr>
        <w:ind w:right="0"/>
        <w:spacing w:after="0" w:afterAutospacing="0" w:line="240" w:lineRule="auto"/>
        <w:rPr>
          <w:rFonts w:ascii="PT Serif" w:hAnsi="PT Serif" w:cs="PT Serif"/>
          <w:sz w:val="24"/>
          <w:szCs w:val="24"/>
        </w:rPr>
        <w:suppressLineNumbers w:val="0"/>
      </w:pPr>
      <w:r>
        <w:rPr>
          <w:rFonts w:ascii="PT Serif" w:hAnsi="PT Serif" w:eastAsia="PT Serif" w:cs="PT Serif"/>
          <w:sz w:val="24"/>
          <w:szCs w:val="24"/>
        </w:rPr>
        <w:t xml:space="preserve">Председатель Кабинета Министров</w:t>
      </w:r>
      <w:r>
        <w:rPr>
          <w:rFonts w:ascii="PT Serif" w:hAnsi="PT Serif" w:cs="PT Serif"/>
          <w:sz w:val="24"/>
          <w:szCs w:val="24"/>
        </w:rPr>
      </w:r>
      <w:r>
        <w:rPr>
          <w:rFonts w:ascii="PT Serif" w:hAnsi="PT Serif" w:cs="PT Serif"/>
          <w:sz w:val="24"/>
          <w:szCs w:val="24"/>
        </w:rPr>
      </w:r>
    </w:p>
    <w:p>
      <w:pPr>
        <w:ind w:right="0" w:firstLine="708"/>
        <w:spacing w:after="0" w:afterAutospacing="0" w:line="240" w:lineRule="auto"/>
        <w:rPr>
          <w:rFonts w:ascii="PT Serif" w:hAnsi="PT Serif" w:cs="PT Serif"/>
          <w:sz w:val="24"/>
          <w:szCs w:val="24"/>
        </w:rPr>
        <w:suppressLineNumbers w:val="0"/>
      </w:pPr>
      <w:r>
        <w:rPr>
          <w:rFonts w:ascii="PT Serif" w:hAnsi="PT Serif" w:eastAsia="PT Serif" w:cs="PT Serif"/>
          <w:color w:val="000000"/>
          <w:sz w:val="24"/>
          <w:szCs w:val="24"/>
        </w:rPr>
        <w:t xml:space="preserve">Чувашской Республики </w:t>
      </w:r>
      <w:r>
        <w:rPr>
          <w:rFonts w:ascii="PT Serif" w:hAnsi="PT Serif" w:eastAsia="PT Serif" w:cs="PT Serif"/>
          <w:color w:val="000000"/>
          <w:sz w:val="24"/>
          <w:szCs w:val="24"/>
        </w:rPr>
        <w:tab/>
      </w:r>
      <w:r>
        <w:rPr>
          <w:rFonts w:ascii="PT Serif" w:hAnsi="PT Serif" w:eastAsia="PT Serif" w:cs="PT Serif"/>
          <w:color w:val="000000"/>
          <w:sz w:val="24"/>
          <w:szCs w:val="24"/>
        </w:rPr>
        <w:tab/>
      </w:r>
      <w:r>
        <w:rPr>
          <w:rFonts w:ascii="PT Serif" w:hAnsi="PT Serif" w:eastAsia="PT Serif" w:cs="PT Serif"/>
          <w:color w:val="000000"/>
          <w:sz w:val="24"/>
          <w:szCs w:val="24"/>
        </w:rPr>
        <w:tab/>
      </w:r>
      <w:r>
        <w:rPr>
          <w:rFonts w:ascii="PT Serif" w:hAnsi="PT Serif" w:eastAsia="PT Serif" w:cs="PT Serif"/>
          <w:color w:val="000000"/>
          <w:sz w:val="24"/>
          <w:szCs w:val="24"/>
        </w:rPr>
        <w:tab/>
      </w:r>
      <w:r>
        <w:rPr>
          <w:rFonts w:ascii="PT Serif" w:hAnsi="PT Serif" w:eastAsia="PT Serif" w:cs="PT Serif"/>
          <w:color w:val="000000"/>
          <w:sz w:val="24"/>
          <w:szCs w:val="24"/>
        </w:rPr>
        <w:tab/>
      </w:r>
      <w:r>
        <w:rPr>
          <w:rFonts w:ascii="PT Serif" w:hAnsi="PT Serif" w:eastAsia="PT Serif" w:cs="PT Serif"/>
          <w:color w:val="000000"/>
          <w:sz w:val="24"/>
          <w:szCs w:val="24"/>
        </w:rPr>
        <w:tab/>
      </w:r>
      <w:r>
        <w:rPr>
          <w:rFonts w:ascii="PT Serif" w:hAnsi="PT Serif" w:eastAsia="PT Serif" w:cs="PT Serif"/>
          <w:color w:val="000000"/>
          <w:sz w:val="24"/>
          <w:szCs w:val="24"/>
        </w:rPr>
        <w:t xml:space="preserve">          О. Николаев</w:t>
      </w:r>
      <w:r>
        <w:rPr>
          <w:rFonts w:ascii="PT Serif" w:hAnsi="PT Serif" w:cs="PT Serif"/>
          <w:sz w:val="24"/>
          <w:szCs w:val="24"/>
        </w:rPr>
      </w:r>
      <w:r>
        <w:rPr>
          <w:rFonts w:ascii="PT Serif" w:hAnsi="PT Serif" w:cs="PT Serif"/>
          <w:sz w:val="24"/>
          <w:szCs w:val="24"/>
        </w:rPr>
      </w:r>
    </w:p>
    <w:p>
      <w:pPr>
        <w:ind w:right="0"/>
        <w:spacing w:after="0" w:afterAutospacing="0" w:line="240" w:lineRule="auto"/>
        <w:rPr>
          <w:rFonts w:ascii="PT Serif" w:hAnsi="PT Serif" w:cs="PT Serif"/>
          <w:sz w:val="24"/>
          <w:szCs w:val="24"/>
        </w:rPr>
        <w:suppressLineNumbers w:val="0"/>
      </w:pPr>
      <w:r>
        <w:rPr>
          <w:rFonts w:ascii="PT Serif" w:hAnsi="PT Serif" w:eastAsia="PT Serif" w:cs="PT Serif"/>
          <w:sz w:val="24"/>
          <w:szCs w:val="24"/>
        </w:rPr>
      </w:r>
      <w:r>
        <w:rPr>
          <w:rFonts w:ascii="PT Serif" w:hAnsi="PT Serif" w:cs="PT Serif"/>
          <w:sz w:val="24"/>
          <w:szCs w:val="24"/>
        </w:rPr>
      </w:r>
      <w:r>
        <w:rPr>
          <w:rFonts w:ascii="PT Serif" w:hAnsi="PT Serif" w:cs="PT Serif"/>
          <w:sz w:val="24"/>
          <w:szCs w:val="24"/>
        </w:rPr>
      </w:r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Serif">
    <w:panose1 w:val="020A060304050502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6">
    <w:name w:val="Heading 1"/>
    <w:basedOn w:val="832"/>
    <w:next w:val="832"/>
    <w:link w:val="65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7">
    <w:name w:val="Heading 1 Char"/>
    <w:link w:val="656"/>
    <w:uiPriority w:val="9"/>
    <w:rPr>
      <w:rFonts w:ascii="Arial" w:hAnsi="Arial" w:eastAsia="Arial" w:cs="Arial"/>
      <w:sz w:val="40"/>
      <w:szCs w:val="40"/>
    </w:rPr>
  </w:style>
  <w:style w:type="paragraph" w:styleId="658">
    <w:name w:val="Heading 2"/>
    <w:basedOn w:val="832"/>
    <w:next w:val="832"/>
    <w:link w:val="65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9">
    <w:name w:val="Heading 2 Char"/>
    <w:link w:val="658"/>
    <w:uiPriority w:val="9"/>
    <w:rPr>
      <w:rFonts w:ascii="Arial" w:hAnsi="Arial" w:eastAsia="Arial" w:cs="Arial"/>
      <w:sz w:val="34"/>
    </w:rPr>
  </w:style>
  <w:style w:type="paragraph" w:styleId="660">
    <w:name w:val="Heading 3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1">
    <w:name w:val="Heading 3 Char"/>
    <w:link w:val="660"/>
    <w:uiPriority w:val="9"/>
    <w:rPr>
      <w:rFonts w:ascii="Arial" w:hAnsi="Arial" w:eastAsia="Arial" w:cs="Arial"/>
      <w:sz w:val="30"/>
      <w:szCs w:val="30"/>
    </w:rPr>
  </w:style>
  <w:style w:type="paragraph" w:styleId="662">
    <w:name w:val="Heading 4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3">
    <w:name w:val="Heading 4 Char"/>
    <w:link w:val="662"/>
    <w:uiPriority w:val="9"/>
    <w:rPr>
      <w:rFonts w:ascii="Arial" w:hAnsi="Arial" w:eastAsia="Arial" w:cs="Arial"/>
      <w:b/>
      <w:bCs/>
      <w:sz w:val="26"/>
      <w:szCs w:val="26"/>
    </w:rPr>
  </w:style>
  <w:style w:type="paragraph" w:styleId="664">
    <w:name w:val="Heading 5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5">
    <w:name w:val="Heading 5 Char"/>
    <w:link w:val="664"/>
    <w:uiPriority w:val="9"/>
    <w:rPr>
      <w:rFonts w:ascii="Arial" w:hAnsi="Arial" w:eastAsia="Arial" w:cs="Arial"/>
      <w:b/>
      <w:bCs/>
      <w:sz w:val="24"/>
      <w:szCs w:val="24"/>
    </w:rPr>
  </w:style>
  <w:style w:type="paragraph" w:styleId="666">
    <w:name w:val="Heading 6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7">
    <w:name w:val="Heading 6 Char"/>
    <w:link w:val="666"/>
    <w:uiPriority w:val="9"/>
    <w:rPr>
      <w:rFonts w:ascii="Arial" w:hAnsi="Arial" w:eastAsia="Arial" w:cs="Arial"/>
      <w:b/>
      <w:bCs/>
      <w:sz w:val="22"/>
      <w:szCs w:val="22"/>
    </w:rPr>
  </w:style>
  <w:style w:type="paragraph" w:styleId="668">
    <w:name w:val="Heading 7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9">
    <w:name w:val="Heading 7 Char"/>
    <w:link w:val="6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0">
    <w:name w:val="Heading 8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1">
    <w:name w:val="Heading 8 Char"/>
    <w:link w:val="670"/>
    <w:uiPriority w:val="9"/>
    <w:rPr>
      <w:rFonts w:ascii="Arial" w:hAnsi="Arial" w:eastAsia="Arial" w:cs="Arial"/>
      <w:i/>
      <w:iCs/>
      <w:sz w:val="22"/>
      <w:szCs w:val="22"/>
    </w:rPr>
  </w:style>
  <w:style w:type="paragraph" w:styleId="672">
    <w:name w:val="Heading 9"/>
    <w:basedOn w:val="832"/>
    <w:next w:val="832"/>
    <w:link w:val="67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3">
    <w:name w:val="Heading 9 Char"/>
    <w:link w:val="672"/>
    <w:uiPriority w:val="9"/>
    <w:rPr>
      <w:rFonts w:ascii="Arial" w:hAnsi="Arial" w:eastAsia="Arial" w:cs="Arial"/>
      <w:i/>
      <w:iCs/>
      <w:sz w:val="21"/>
      <w:szCs w:val="21"/>
    </w:rPr>
  </w:style>
  <w:style w:type="paragraph" w:styleId="674">
    <w:name w:val="Title"/>
    <w:basedOn w:val="832"/>
    <w:next w:val="832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link w:val="674"/>
    <w:uiPriority w:val="10"/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link w:val="676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link w:val="682"/>
    <w:uiPriority w:val="99"/>
  </w:style>
  <w:style w:type="paragraph" w:styleId="684">
    <w:name w:val="Footer"/>
    <w:basedOn w:val="832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link w:val="684"/>
    <w:uiPriority w:val="99"/>
  </w:style>
  <w:style w:type="paragraph" w:styleId="686">
    <w:name w:val="Caption"/>
    <w:basedOn w:val="832"/>
    <w:next w:val="8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basedOn w:val="83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8">
    <w:name w:val="List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9">
    <w:name w:val="List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0">
    <w:name w:val="List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1">
    <w:name w:val="List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2">
    <w:name w:val="List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3">
    <w:name w:val="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5">
    <w:name w:val="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6">
    <w:name w:val="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7">
    <w:name w:val="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8">
    <w:name w:val="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9">
    <w:name w:val="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0">
    <w:name w:val="Bordered &amp; 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2">
    <w:name w:val="Bordered &amp; 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3">
    <w:name w:val="Bordered &amp; 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4">
    <w:name w:val="Bordered &amp; 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5">
    <w:name w:val="Bordered &amp; 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6">
    <w:name w:val="Bordered &amp; 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7">
    <w:name w:val="Bordered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qFormat/>
  </w:style>
  <w:style w:type="table" w:styleId="83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4" w:default="1">
    <w:name w:val="No List"/>
    <w:uiPriority w:val="99"/>
    <w:semiHidden/>
    <w:unhideWhenUsed/>
  </w:style>
  <w:style w:type="paragraph" w:styleId="835">
    <w:name w:val="No Spacing"/>
    <w:basedOn w:val="832"/>
    <w:uiPriority w:val="1"/>
    <w:qFormat/>
    <w:pPr>
      <w:spacing w:after="0" w:line="240" w:lineRule="auto"/>
    </w:pPr>
  </w:style>
  <w:style w:type="paragraph" w:styleId="836">
    <w:name w:val="List Paragraph"/>
    <w:basedOn w:val="832"/>
    <w:uiPriority w:val="34"/>
    <w:qFormat/>
    <w:pPr>
      <w:contextualSpacing/>
      <w:ind w:left="720"/>
    </w:pPr>
  </w:style>
  <w:style w:type="character" w:styleId="837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Р7-Офис/2024.1.2.401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</cp:revision>
  <dcterms:modified xsi:type="dcterms:W3CDTF">2024-09-27T05:58:08Z</dcterms:modified>
</cp:coreProperties>
</file>