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244"/>
        <w:jc w:val="left"/>
        <w:tabs>
          <w:tab w:val="left" w:pos="6236" w:leader="none"/>
        </w:tabs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                 </w:t>
      </w:r>
      <w:r>
        <w:rPr>
          <w:rFonts w:ascii="Tinos" w:hAnsi="Tinos" w:eastAsia="Tinos" w:cs="Tinos"/>
          <w:b w:val="0"/>
          <w:i w:val="0"/>
          <w:strike w:val="0"/>
          <w:sz w:val="24"/>
          <w:szCs w:val="24"/>
        </w:rPr>
        <w:t xml:space="preserve">  Приложение № 1</w:t>
      </w:r>
      <w:r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r>
    </w:p>
    <w:p>
      <w:pPr>
        <w:ind w:left="4961" w:right="0" w:firstLine="0"/>
        <w:jc w:val="center"/>
        <w:spacing w:after="0" w:afterAutospacing="0" w:line="240" w:lineRule="auto"/>
        <w:rPr>
          <w:rFonts w:ascii="Tinos" w:hAnsi="Tinos" w:cs="Tinos"/>
          <w:b/>
          <w:bCs/>
          <w:color w:val="00000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к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  <w:t xml:space="preserve">Порядку и условиям </w:t>
      </w:r>
      <w:r>
        <w:rPr>
          <w:rFonts w:ascii="Tinos" w:hAnsi="Tinos" w:cs="Tinos"/>
          <w:b/>
          <w:bCs/>
          <w:color w:val="000000"/>
          <w:sz w:val="26"/>
          <w:szCs w:val="26"/>
          <w:highlight w:val="none"/>
        </w:rPr>
      </w:r>
      <w:r>
        <w:rPr>
          <w:rFonts w:ascii="Tinos" w:hAnsi="Tinos" w:cs="Tinos"/>
          <w:b/>
          <w:bCs/>
          <w:color w:val="000000"/>
          <w:sz w:val="26"/>
          <w:szCs w:val="26"/>
          <w:highlight w:val="none"/>
        </w:rPr>
      </w:r>
    </w:p>
    <w:p>
      <w:pPr>
        <w:ind w:left="4961" w:right="0" w:firstLine="0"/>
        <w:jc w:val="center"/>
        <w:spacing w:after="0" w:afterAutospacing="0" w:line="240" w:lineRule="auto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6"/>
          <w:szCs w:val="26"/>
          <w:highlight w:val="none"/>
        </w:rPr>
        <w:t xml:space="preserve">реализации мероприятия п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u w:val="none"/>
        </w:rPr>
        <w:t xml:space="preserve">о созданию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u w:val="none"/>
        </w:rPr>
        <w:t xml:space="preserve">в Чувашской Республик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u w:val="none"/>
        </w:rPr>
        <w:t xml:space="preserve">е пунктов проката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u w:val="none"/>
        </w:rPr>
        <w:t xml:space="preserve">предметов первой необходимости для новорожденных 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p>
      <w:pPr>
        <w:jc w:val="right"/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b w:val="0"/>
          <w:i w:val="0"/>
          <w:strike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b w:val="0"/>
          <w:bCs w:val="0"/>
          <w:i w:val="0"/>
          <w:strike w:val="0"/>
          <w:sz w:val="24"/>
          <w:szCs w:val="24"/>
          <w:highlight w:val="none"/>
          <w14:ligatures w14:val="none"/>
        </w:rPr>
      </w:r>
    </w:p>
    <w:p>
      <w:pPr>
        <w:jc w:val="right"/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u w:val="none"/>
          <w14:ligatures w14:val="none"/>
        </w:rPr>
      </w:pPr>
      <w:r>
        <w:rPr>
          <w:rFonts w:ascii="Tinos" w:hAnsi="Tinos" w:eastAsia="Tinos" w:cs="Tinos"/>
          <w:b w:val="0"/>
          <w:i w:val="0"/>
          <w:strike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u w:val="none"/>
          <w14:ligatures w14:val="none"/>
        </w:rPr>
      </w:r>
      <w:r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u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 w:val="0"/>
          <w:iCs w:val="0"/>
          <w:strike w:val="0"/>
          <w:color w:val="000000"/>
          <w:sz w:val="24"/>
          <w:szCs w:val="24"/>
          <w:highlight w:val="yellow"/>
          <w:u w:val="none"/>
        </w:rPr>
      </w:r>
      <w:r>
        <w:rPr>
          <w:rFonts w:ascii="Tinos" w:hAnsi="Tinos" w:eastAsia="Tinos" w:cs="Tinos"/>
          <w:b/>
          <w:bCs/>
          <w:i w:val="0"/>
          <w:iCs w:val="0"/>
          <w:strike w:val="0"/>
          <w:color w:val="000000"/>
          <w:sz w:val="24"/>
          <w:szCs w:val="24"/>
          <w:highlight w:val="white"/>
          <w:u w:val="none"/>
        </w:rPr>
        <w:t xml:space="preserve">Перечень</w:t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4"/>
          <w:szCs w:val="24"/>
          <w:highlight w:val="white"/>
          <w:u w:val="none"/>
          <w14:ligatures w14:val="none"/>
        </w:rPr>
        <w:t xml:space="preserve"> органи</w:t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  <w:t xml:space="preserve">заций,</w:t>
      </w:r>
      <w:r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  <w:t xml:space="preserve">на базе которых создаются пункты проката</w:t>
      </w:r>
      <w:r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/>
          <w:bCs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b/>
          <w:bCs/>
          <w:i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nos" w:hAnsi="Tinos" w:cs="Tinos"/>
          <w:b/>
          <w:bCs/>
          <w:i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/>
          <w:bCs/>
          <w:i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</w:rPr>
        <w:t xml:space="preserve">2025 год</w:t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trike w:val="0"/>
          <w:color w:val="000000"/>
          <w:sz w:val="24"/>
          <w:szCs w:val="24"/>
          <w:highlight w:val="none"/>
          <w:u w:val="none"/>
        </w:rPr>
        <w:t xml:space="preserve">Б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юджетное учреждение Чувашской Республики «Канашский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«Алатырский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«Ядринский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«Новочебоксарский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«Комплексный центр социального обслуживания населения г. Чебоксары» Министерства труда и социальной защиты Чувашской Республики.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«Козловский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1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«Социально-реабилитационный центр для несовершеннолетних г. Чебоксары»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b/>
          <w:bCs/>
          <w:i/>
          <w:iCs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b/>
          <w:bCs/>
          <w:i/>
          <w:iCs/>
          <w:color w:val="000000"/>
          <w:sz w:val="24"/>
          <w:szCs w:val="24"/>
          <w:highlight w:val="none"/>
          <w14:ligatures w14:val="none"/>
        </w:rPr>
        <w:t xml:space="preserve">2026 год</w:t>
      </w:r>
      <w:r>
        <w:rPr>
          <w:rFonts w:ascii="Tinos" w:hAnsi="Tinos" w:cs="Tinos"/>
          <w:b/>
          <w:bCs/>
          <w:i/>
          <w:iCs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b/>
          <w:bCs/>
          <w:i/>
          <w:iCs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ind w:left="0" w:right="0" w:firstLine="709"/>
        <w:jc w:val="both"/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trike w:val="0"/>
          <w:color w:val="000000"/>
          <w:sz w:val="24"/>
          <w:szCs w:val="24"/>
          <w:highlight w:val="none"/>
          <w:u w:val="none"/>
        </w:rPr>
        <w:t xml:space="preserve">Б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юджетное учреждение Чувашской Республики «Канашский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«Алатырский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«Ядринский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«Новочебоксарский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«Комплексный центр социального обслуживания населения г. Чебоксары» Министерства труда и социальной защиты Чувашской Республики.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«Козловский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«Социально-реабилитационный центр для несовершеннолетних г. Чебоксары»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«Аликовский центр социального обслуживания населения» Министерства труда и социальной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«Батыревский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«Вурнарский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«Ибресинский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«Красноармейский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«Красночетайский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«Мариинско-Посадский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«Моргаушский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«Порецкий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«Цивильский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«Центр социального обслуживания населения Чебоксарского района»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«Шемуршинский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«Яльчикский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4"/>
        </w:numPr>
        <w:ind w:left="0" w:right="0" w:firstLine="709"/>
        <w:jc w:val="both"/>
        <w:tabs>
          <w:tab w:val="left" w:pos="992" w:leader="none"/>
          <w:tab w:val="left" w:pos="1134" w:leader="none"/>
          <w:tab w:val="left" w:pos="1276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«Янтиковский центр социального обслуживания населения» Министерства труда и социальной защиты Чувашской 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ind w:left="0" w:right="0" w:firstLine="709"/>
        <w:jc w:val="both"/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u w:val="none"/>
          <w14:ligatures w14:val="none"/>
        </w:rPr>
      </w:pPr>
      <w:r>
        <w:rPr>
          <w:rFonts w:ascii="Tinos" w:hAnsi="Tinos" w:eastAsia="Tinos" w:cs="Tinos"/>
          <w:b/>
          <w:bCs/>
          <w:i/>
          <w:iCs/>
          <w:strike w:val="0"/>
          <w:color w:val="000000"/>
          <w:sz w:val="24"/>
          <w:szCs w:val="24"/>
          <w:u w:val="none"/>
          <w14:ligatures w14:val="none"/>
        </w:rPr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u w:val="none"/>
          <w14:ligatures w14:val="none"/>
        </w:rPr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u w:val="none"/>
          <w14:ligatures w14:val="none"/>
        </w:rPr>
      </w:r>
    </w:p>
    <w:p>
      <w:pPr>
        <w:ind w:left="0" w:right="0" w:firstLine="709"/>
        <w:jc w:val="both"/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/>
          <w:iCs/>
          <w:color w:val="000000"/>
          <w:sz w:val="24"/>
          <w:szCs w:val="24"/>
          <w:highlight w:val="none"/>
          <w14:ligatures w14:val="none"/>
        </w:rPr>
        <w:t xml:space="preserve">2027 год</w:t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r>
      <w:r>
        <w:rPr>
          <w:rFonts w:ascii="Tinos" w:hAnsi="Tinos" w:cs="Tinos"/>
          <w:b/>
          <w:bCs/>
          <w:i/>
          <w:iCs/>
          <w:strike w:val="0"/>
          <w:color w:val="000000"/>
          <w:sz w:val="24"/>
          <w:szCs w:val="24"/>
          <w:highlight w:val="none"/>
          <w:u w:val="none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trike w:val="0"/>
          <w:color w:val="000000"/>
          <w:sz w:val="24"/>
          <w:szCs w:val="24"/>
          <w:highlight w:val="none"/>
          <w:u w:val="none"/>
        </w:rPr>
        <w:t xml:space="preserve">Б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юджетное учреждение Чувашской Республики «Канашский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«Алатырский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«Ядринский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«Новочебоксарский комплексный центр социального обслуживания населения»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Автономное учреждение Чувашской Республики «Комплексный центр социального обслуживания населения г. Чебоксары» Министерства труда и социальной защиты Чувашской Республики.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«Козловский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«Социально-реабилитационный центр для несовершеннолетних г. Чебоксары»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«Аликовский центр социального обслуживания населения» Министерства труда и социальной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«Батыревский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«Вурнарский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«Ибресинский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«Красноармейский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«Красночетайский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«Мариинско-Посадский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«Моргаушский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«Порецкий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«Цивильский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«Центр социального обслуживания населения Чебоксарского района»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«Шемуршинский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«Яльчикский центр социального обслуживания населения» Министерства труда и социальной защиты Чувашской Республики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numPr>
          <w:ilvl w:val="0"/>
          <w:numId w:val="5"/>
        </w:numPr>
        <w:ind w:left="0" w:right="0" w:firstLine="709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</w:rPr>
        <w:t xml:space="preserve">Бюджетное учреждение Чувашской Республики «Янтиковский центр социального обслуживания населения» Министерства труда и социальной защиты Чувашской </w:t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  <w:r>
        <w:rPr>
          <w:rFonts w:ascii="Tinos" w:hAnsi="Tinos" w:cs="Tinos"/>
          <w:color w:val="000000"/>
          <w:sz w:val="24"/>
          <w:szCs w:val="24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  <w:t xml:space="preserve">                                                                           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843"/>
        <w:ind w:right="0"/>
        <w:jc w:val="both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r/>
      <w:r/>
      <w:r/>
    </w:p>
    <w:p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1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227121</wp:posOffset>
                </wp:positionV>
                <wp:extent cx="2057400" cy="88900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826287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25.80pt;mso-position-horizontal:absolute;mso-position-vertical-relative:text;margin-top:17.88pt;mso-position-vertical:absolute;width:162.00pt;height:70.00pt;mso-wrap-distance-left:9.07pt;mso-wrap-distance-top:0.00pt;mso-wrap-distance-right:9.07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/>
    </w:p>
    <w:sectPr>
      <w:footnotePr/>
      <w:endnotePr/>
      <w:type w:val="nextPage"/>
      <w:pgSz w:w="11906" w:h="16838" w:orient="portrait"/>
      <w:pgMar w:top="1134" w:right="850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2024-12-05T12:17:58Z</dcterms:modified>
</cp:coreProperties>
</file>