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5"/>
        <w:ind w:firstLine="709"/>
        <w:jc w:val="both"/>
        <w:widowControl/>
        <w:rPr>
          <w:rFonts w:ascii="PT Astra Serif" w:hAnsi="PT Astra Serif" w:cs="PT Astra Serif"/>
          <w:b w:val="0"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sz w:val="26"/>
          <w:szCs w:val="26"/>
        </w:rPr>
      </w:r>
      <w:r>
        <w:rPr>
          <w:rFonts w:ascii="PT Astra Serif" w:hAnsi="PT Astra Serif" w:cs="PT Astra Serif"/>
          <w:b w:val="0"/>
          <w:sz w:val="26"/>
          <w:szCs w:val="26"/>
        </w:rPr>
      </w:r>
      <w:r>
        <w:rPr>
          <w:rFonts w:ascii="PT Astra Serif" w:hAnsi="PT Astra Serif" w:cs="PT Astra Serif"/>
          <w:b w:val="0"/>
          <w:sz w:val="26"/>
          <w:szCs w:val="26"/>
        </w:rPr>
      </w:r>
    </w:p>
    <w:p>
      <w:pPr>
        <w:pStyle w:val="885"/>
        <w:ind w:firstLine="709"/>
        <w:jc w:val="both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885"/>
        <w:ind w:firstLine="709"/>
        <w:jc w:val="both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885"/>
        <w:ind w:firstLine="709"/>
        <w:jc w:val="both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884"/>
        <w:ind w:right="5396"/>
        <w:jc w:val="both"/>
        <w:widowControl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84"/>
        <w:ind w:right="5396"/>
        <w:jc w:val="both"/>
        <w:widowControl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84"/>
        <w:ind w:right="5396"/>
        <w:jc w:val="both"/>
        <w:widowControl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84"/>
        <w:ind w:right="5396"/>
        <w:jc w:val="both"/>
        <w:widowControl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84"/>
        <w:ind w:right="5396"/>
        <w:jc w:val="both"/>
        <w:widowControl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84"/>
        <w:ind w:right="5396"/>
        <w:jc w:val="both"/>
        <w:widowControl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884"/>
        <w:ind w:right="5396"/>
        <w:jc w:val="both"/>
        <w:widowControl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884"/>
        <w:ind w:right="5396"/>
        <w:jc w:val="both"/>
        <w:widowControl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О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внесении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изменений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в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п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о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становлени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е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Кабинета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Мин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и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стров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Чувашской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Ре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с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публики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от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6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июня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2012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г.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№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217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84"/>
        <w:ind w:firstLine="709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84"/>
        <w:ind w:firstLine="709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84"/>
        <w:ind w:firstLine="709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Кабинет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Министров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Чувашской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Республики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99"/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 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Внести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раздел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III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Положения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Министерстве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транспорта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дорожного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хозяйства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Чувашской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Республики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(приложение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№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1),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утвержденно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постано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лением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Кабинета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Министров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Чувашской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Республики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6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июня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2012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№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217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«Вопросы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Министерства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транспорта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дорожного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хозяйства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Чувашской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Респу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б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лики»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(с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изменениями,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внесенными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постановлениями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Кабинета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Министров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Ч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у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вашской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публики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27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февраля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2013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№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65,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16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мая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2013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№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183,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26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июня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2013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№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246,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23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октября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2013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№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427,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23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октября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2014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№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357,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25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февраля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2015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№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47,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22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июля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2015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№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266,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9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сентября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2015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№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323,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25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ноя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б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2015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№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419,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23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марта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2016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№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85,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11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мая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2016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№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161,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26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октября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2016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№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440,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31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октя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б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2016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№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443,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22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февраля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2017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№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62,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12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июля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2017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№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268,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25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октября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2017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№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421,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15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дека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б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2017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№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506,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12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октября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2018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№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404,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13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марта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2019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№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71,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25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кабря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2019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№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572,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25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июня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2020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№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332,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9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декабря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2020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№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690,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13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октября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2021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№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503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10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августа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2022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№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382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28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декабря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2022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№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751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22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марта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2023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№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185,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10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мая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2023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№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308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23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августа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2023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№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551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22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ноября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2023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№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735, от 24 января 2024 г. № 2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от 22 мая 2024 г. №275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),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следующие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изменения: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пункт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33.6) признать утратившим силу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;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пункт 37.1)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после слов «карт соответствующих маршрутов регулярных перевозок,» дополнить словами «предоставление дубликата свидетельства об осуществлении перевозок по межмуниципальному маршруту регулярных перевозок, муниципальным маршрутам в границах отдельных муниципа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льных образований Чувашской Республики и дубликата карты соответствующего маршрута,»;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пункты 94 и 95 изложить в следующей редакции: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«94) организует дорожное движение на автомобильных дорогах регионального или межмуниципального значения, в том числе осуществляет мониторинг дорожного движения;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95) обеспечивает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установку, замену, демонтаж и содержание технических средств организации дорожного движения на автомобильных дорогах регионального или межмуниципального значения;»;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пункт 98 признать утратившим силу;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      в пункте 99 слова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«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в соответствии с методическими рекомендациями, предусмотренными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u w:val="none"/>
        </w:rPr>
        <w:t xml:space="preserve">пунктом 14 части 1 статьи 5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Федерального закона «Об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»,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исключить;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»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2. Настоящее постановление вступает в силу со дня его официального опубликования, за исключением абзацев 7-11 настоящего постановления.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3. Абзацы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7-11 настоящего постановления вступают в силу с 1 марта 2025 года.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8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8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8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8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Председатель Кабинета Министров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80"/>
        <w:ind w:firstLine="709"/>
        <w:spacing w:after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Чувашской Республики </w:t>
        <w:tab/>
        <w:tab/>
        <w:tab/>
        <w:tab/>
        <w:tab/>
        <w:tab/>
        <w:t xml:space="preserve">          О.Николаев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9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right"/>
        <w:spacing w:after="0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0" w:bottom="1134" w:left="198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rPr>
        <w:rStyle w:val="898"/>
        <w:rFonts w:ascii="Times New Roman" w:hAnsi="Times New Roman"/>
        <w:sz w:val="24"/>
        <w:szCs w:val="24"/>
      </w:rPr>
      <w:framePr w:wrap="around" w:vAnchor="text" w:hAnchor="margin" w:xAlign="center" w:y="1"/>
    </w:pPr>
    <w:r>
      <w:rPr>
        <w:rStyle w:val="898"/>
        <w:rFonts w:ascii="Times New Roman" w:hAnsi="Times New Roman"/>
        <w:sz w:val="24"/>
        <w:szCs w:val="24"/>
      </w:rPr>
      <w:fldChar w:fldCharType="begin"/>
    </w:r>
    <w:r>
      <w:rPr>
        <w:rStyle w:val="898"/>
        <w:rFonts w:ascii="Times New Roman" w:hAnsi="Times New Roman"/>
        <w:sz w:val="24"/>
        <w:szCs w:val="24"/>
      </w:rPr>
      <w:instrText xml:space="preserve">PAGE  </w:instrText>
    </w:r>
    <w:r>
      <w:rPr>
        <w:rStyle w:val="898"/>
        <w:rFonts w:ascii="Times New Roman" w:hAnsi="Times New Roman"/>
        <w:sz w:val="24"/>
        <w:szCs w:val="24"/>
      </w:rPr>
      <w:fldChar w:fldCharType="separate"/>
    </w:r>
    <w:r>
      <w:rPr>
        <w:rStyle w:val="898"/>
        <w:rFonts w:ascii="Times New Roman" w:hAnsi="Times New Roman"/>
        <w:sz w:val="24"/>
        <w:szCs w:val="24"/>
      </w:rPr>
      <w:t xml:space="preserve">2</w:t>
    </w:r>
    <w:r>
      <w:rPr>
        <w:rStyle w:val="898"/>
        <w:rFonts w:ascii="Times New Roman" w:hAnsi="Times New Roman"/>
        <w:sz w:val="24"/>
        <w:szCs w:val="24"/>
      </w:rPr>
      <w:fldChar w:fldCharType="end"/>
    </w:r>
    <w:r>
      <w:rPr>
        <w:rStyle w:val="898"/>
        <w:rFonts w:ascii="Times New Roman" w:hAnsi="Times New Roman"/>
        <w:sz w:val="24"/>
        <w:szCs w:val="24"/>
      </w:rPr>
    </w:r>
    <w:r>
      <w:rPr>
        <w:rStyle w:val="898"/>
        <w:rFonts w:ascii="Times New Roman" w:hAnsi="Times New Roman"/>
        <w:sz w:val="24"/>
        <w:szCs w:val="24"/>
      </w:rPr>
    </w:r>
  </w:p>
  <w:p>
    <w:pPr>
      <w:pStyle w:val="89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rPr>
        <w:rStyle w:val="898"/>
      </w:rPr>
      <w:framePr w:wrap="around" w:vAnchor="text" w:hAnchor="margin" w:xAlign="center" w:y="1"/>
    </w:pPr>
    <w:r>
      <w:rPr>
        <w:rStyle w:val="898"/>
      </w:rPr>
      <w:fldChar w:fldCharType="begin"/>
    </w:r>
    <w:r>
      <w:rPr>
        <w:rStyle w:val="898"/>
      </w:rPr>
      <w:instrText xml:space="preserve">PAGE  </w:instrText>
    </w:r>
    <w:r>
      <w:rPr>
        <w:rStyle w:val="898"/>
      </w:rPr>
      <w:fldChar w:fldCharType="separate"/>
    </w:r>
    <w:r>
      <w:rPr>
        <w:rStyle w:val="898"/>
      </w:rPr>
      <w:t xml:space="preserve">2</w:t>
    </w:r>
    <w:r>
      <w:rPr>
        <w:rStyle w:val="898"/>
      </w:rPr>
      <w:fldChar w:fldCharType="end"/>
    </w:r>
    <w:r>
      <w:rPr>
        <w:rStyle w:val="898"/>
      </w:rPr>
    </w:r>
    <w:r>
      <w:rPr>
        <w:rStyle w:val="898"/>
      </w:rPr>
    </w:r>
  </w:p>
  <w:p>
    <w:pPr>
      <w:pStyle w:val="89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80"/>
    <w:next w:val="88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80"/>
    <w:next w:val="880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80"/>
    <w:next w:val="880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880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next w:val="880"/>
    <w:link w:val="880"/>
    <w:qFormat/>
    <w:pPr>
      <w:spacing w:after="200"/>
    </w:pPr>
    <w:rPr>
      <w:sz w:val="22"/>
      <w:szCs w:val="22"/>
      <w:lang w:val="ru-RU" w:eastAsia="en-US" w:bidi="ar-SA"/>
    </w:rPr>
  </w:style>
  <w:style w:type="character" w:styleId="881">
    <w:name w:val="Основной шрифт абзаца"/>
    <w:next w:val="881"/>
    <w:link w:val="880"/>
    <w:uiPriority w:val="1"/>
    <w:semiHidden/>
    <w:unhideWhenUsed/>
  </w:style>
  <w:style w:type="table" w:styleId="882">
    <w:name w:val="Обычная таблица"/>
    <w:next w:val="882"/>
    <w:link w:val="880"/>
    <w:uiPriority w:val="99"/>
    <w:semiHidden/>
    <w:unhideWhenUsed/>
    <w:tblPr/>
  </w:style>
  <w:style w:type="numbering" w:styleId="883">
    <w:name w:val="Нет списка"/>
    <w:next w:val="883"/>
    <w:link w:val="880"/>
    <w:uiPriority w:val="99"/>
    <w:semiHidden/>
    <w:unhideWhenUsed/>
  </w:style>
  <w:style w:type="paragraph" w:styleId="884">
    <w:name w:val="ConsPlusNormal"/>
    <w:next w:val="884"/>
    <w:link w:val="897"/>
    <w:uiPriority w:val="99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885">
    <w:name w:val="ConsPlusTitle"/>
    <w:next w:val="885"/>
    <w:link w:val="880"/>
    <w:pPr>
      <w:widowControl w:val="off"/>
    </w:pPr>
    <w:rPr>
      <w:rFonts w:eastAsia="Times New Roman" w:cs="Calibri"/>
      <w:b/>
      <w:sz w:val="22"/>
      <w:lang w:val="ru-RU" w:eastAsia="ru-RU" w:bidi="ar-SA"/>
    </w:rPr>
  </w:style>
  <w:style w:type="paragraph" w:styleId="886">
    <w:name w:val="ConsPlusTitlePage"/>
    <w:next w:val="886"/>
    <w:link w:val="880"/>
    <w:pPr>
      <w:widowControl w:val="off"/>
    </w:pPr>
    <w:rPr>
      <w:rFonts w:ascii="Tahoma" w:hAnsi="Tahoma" w:eastAsia="Times New Roman" w:cs="Tahoma"/>
      <w:lang w:val="ru-RU" w:eastAsia="ru-RU" w:bidi="ar-SA"/>
    </w:rPr>
  </w:style>
  <w:style w:type="paragraph" w:styleId="887">
    <w:name w:val="Основной текст 2"/>
    <w:basedOn w:val="880"/>
    <w:next w:val="887"/>
    <w:link w:val="888"/>
    <w:uiPriority w:val="99"/>
    <w:pPr>
      <w:ind w:right="4570"/>
      <w:jc w:val="both"/>
      <w:spacing w:after="0"/>
      <w:widowControl w:val="off"/>
    </w:pPr>
    <w:rPr>
      <w:rFonts w:ascii="Times New Roman" w:hAnsi="Times New Roman" w:eastAsia="Times New Roman" w:cs="Times New Roman"/>
      <w:b/>
      <w:sz w:val="26"/>
      <w:szCs w:val="26"/>
    </w:rPr>
  </w:style>
  <w:style w:type="character" w:styleId="888">
    <w:name w:val=" Знак Знак3"/>
    <w:next w:val="888"/>
    <w:link w:val="887"/>
    <w:rPr>
      <w:rFonts w:ascii="Times New Roman" w:hAnsi="Times New Roman" w:eastAsia="Times New Roman" w:cs="Times New Roman"/>
      <w:b/>
      <w:sz w:val="26"/>
      <w:szCs w:val="26"/>
    </w:rPr>
  </w:style>
  <w:style w:type="paragraph" w:styleId="889">
    <w:name w:val="Абзац списка"/>
    <w:basedOn w:val="880"/>
    <w:next w:val="889"/>
    <w:link w:val="880"/>
    <w:uiPriority w:val="34"/>
    <w:qFormat/>
    <w:pPr>
      <w:contextualSpacing/>
      <w:ind w:left="720"/>
    </w:pPr>
  </w:style>
  <w:style w:type="paragraph" w:styleId="890">
    <w:name w:val="Верхний колонтитул"/>
    <w:basedOn w:val="880"/>
    <w:next w:val="890"/>
    <w:link w:val="891"/>
    <w:uiPriority w:val="99"/>
    <w:unhideWhenUsed/>
    <w:pPr>
      <w:spacing w:after="0"/>
      <w:tabs>
        <w:tab w:val="center" w:pos="4677" w:leader="none"/>
        <w:tab w:val="right" w:pos="9355" w:leader="none"/>
      </w:tabs>
    </w:pPr>
  </w:style>
  <w:style w:type="character" w:styleId="891">
    <w:name w:val=" Знак Знак2"/>
    <w:basedOn w:val="881"/>
    <w:next w:val="891"/>
    <w:link w:val="890"/>
    <w:uiPriority w:val="99"/>
  </w:style>
  <w:style w:type="paragraph" w:styleId="892">
    <w:name w:val="Нижний колонтитул"/>
    <w:basedOn w:val="880"/>
    <w:next w:val="892"/>
    <w:link w:val="893"/>
    <w:uiPriority w:val="99"/>
    <w:unhideWhenUsed/>
    <w:pPr>
      <w:spacing w:after="0"/>
      <w:tabs>
        <w:tab w:val="center" w:pos="4677" w:leader="none"/>
        <w:tab w:val="right" w:pos="9355" w:leader="none"/>
      </w:tabs>
    </w:pPr>
  </w:style>
  <w:style w:type="character" w:styleId="893">
    <w:name w:val=" Знак Знак1"/>
    <w:basedOn w:val="881"/>
    <w:next w:val="893"/>
    <w:link w:val="892"/>
    <w:uiPriority w:val="99"/>
  </w:style>
  <w:style w:type="paragraph" w:styleId="894">
    <w:name w:val="Текст выноски"/>
    <w:basedOn w:val="880"/>
    <w:next w:val="894"/>
    <w:link w:val="895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styleId="895">
    <w:name w:val=" Знак Знак"/>
    <w:next w:val="895"/>
    <w:link w:val="894"/>
    <w:uiPriority w:val="99"/>
    <w:semiHidden/>
    <w:rPr>
      <w:rFonts w:ascii="Tahoma" w:hAnsi="Tahoma" w:cs="Tahoma"/>
      <w:sz w:val="16"/>
      <w:szCs w:val="16"/>
    </w:rPr>
  </w:style>
  <w:style w:type="character" w:styleId="896">
    <w:name w:val="Гиперссылка"/>
    <w:next w:val="896"/>
    <w:link w:val="880"/>
    <w:uiPriority w:val="99"/>
    <w:unhideWhenUsed/>
    <w:rPr>
      <w:color w:val="0000ff"/>
      <w:u w:val="single"/>
    </w:rPr>
  </w:style>
  <w:style w:type="character" w:styleId="897">
    <w:name w:val="ConsPlusNormal Знак"/>
    <w:next w:val="897"/>
    <w:link w:val="884"/>
    <w:uiPriority w:val="99"/>
    <w:rPr>
      <w:rFonts w:ascii="Calibri" w:hAnsi="Calibri" w:eastAsia="Times New Roman" w:cs="Calibri"/>
      <w:szCs w:val="20"/>
      <w:lang w:eastAsia="ru-RU"/>
    </w:rPr>
  </w:style>
  <w:style w:type="character" w:styleId="898">
    <w:name w:val="Номер страницы"/>
    <w:basedOn w:val="881"/>
    <w:next w:val="898"/>
    <w:link w:val="880"/>
  </w:style>
  <w:style w:type="paragraph" w:styleId="899">
    <w:name w:val="Обычный (веб)"/>
    <w:basedOn w:val="880"/>
    <w:next w:val="899"/>
    <w:link w:val="880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00" w:default="1">
    <w:name w:val="Default Paragraph Font"/>
    <w:uiPriority w:val="1"/>
    <w:semiHidden/>
    <w:unhideWhenUsed/>
  </w:style>
  <w:style w:type="numbering" w:styleId="901" w:default="1">
    <w:name w:val="No List"/>
    <w:uiPriority w:val="99"/>
    <w:semiHidden/>
    <w:unhideWhenUsed/>
  </w:style>
  <w:style w:type="table" w:styleId="90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**</Company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А.А. Маштакова</dc:creator>
  <cp:revision>24</cp:revision>
  <dcterms:created xsi:type="dcterms:W3CDTF">2023-12-23T08:58:00Z</dcterms:created>
  <dcterms:modified xsi:type="dcterms:W3CDTF">2024-12-05T12:53:00Z</dcterms:modified>
  <cp:version>730895</cp:version>
</cp:coreProperties>
</file>