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left="-284" w:right="4677"/>
        <w:jc w:val="both"/>
        <w:spacing w:line="21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left="-284" w:right="4677"/>
        <w:jc w:val="both"/>
        <w:spacing w:line="21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left="-284" w:right="4677"/>
        <w:jc w:val="both"/>
        <w:spacing w:line="21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left="-284" w:right="4677"/>
        <w:jc w:val="both"/>
        <w:spacing w:line="21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Об установлении нормативов потерь </w:t>
      </w:r>
      <w:r>
        <w:rPr>
          <w:rFonts w:ascii="Times New Roman" w:hAnsi="Times New Roman"/>
          <w:b/>
          <w:bCs/>
          <w:sz w:val="26"/>
          <w:szCs w:val="26"/>
        </w:rPr>
        <w:t xml:space="preserve">питьевой </w:t>
      </w:r>
      <w:r>
        <w:rPr>
          <w:rFonts w:ascii="Times New Roman" w:hAnsi="Times New Roman"/>
          <w:b/>
          <w:bCs/>
          <w:sz w:val="26"/>
          <w:szCs w:val="26"/>
        </w:rPr>
        <w:t xml:space="preserve">воды в централизованн</w:t>
      </w:r>
      <w:r>
        <w:rPr>
          <w:rFonts w:ascii="Times New Roman" w:hAnsi="Times New Roman"/>
          <w:b/>
          <w:bCs/>
          <w:sz w:val="26"/>
          <w:szCs w:val="26"/>
        </w:rPr>
        <w:t xml:space="preserve">ых </w:t>
      </w:r>
      <w:r>
        <w:rPr>
          <w:rFonts w:ascii="Times New Roman" w:hAnsi="Times New Roman"/>
          <w:b/>
          <w:bCs/>
          <w:sz w:val="26"/>
          <w:szCs w:val="26"/>
        </w:rPr>
        <w:t xml:space="preserve">систем</w:t>
      </w:r>
      <w:r>
        <w:rPr>
          <w:rFonts w:ascii="Times New Roman" w:hAnsi="Times New Roman"/>
          <w:b/>
          <w:bCs/>
          <w:sz w:val="26"/>
          <w:szCs w:val="26"/>
        </w:rPr>
        <w:t xml:space="preserve">ах</w:t>
      </w:r>
      <w:r>
        <w:rPr>
          <w:rFonts w:ascii="Times New Roman" w:hAnsi="Times New Roman"/>
          <w:b/>
          <w:bCs/>
          <w:sz w:val="26"/>
          <w:szCs w:val="26"/>
        </w:rPr>
        <w:t xml:space="preserve"> водоснабжения </w:t>
      </w:r>
      <w:r>
        <w:rPr>
          <w:rFonts w:ascii="Times New Roman" w:hAnsi="Times New Roman"/>
          <w:b/>
          <w:bCs/>
          <w:sz w:val="26"/>
          <w:szCs w:val="26"/>
        </w:rPr>
        <w:t xml:space="preserve">Муниципального унитарного предприятия Чебоксарского муниципального округа Чувашской Республики</w:t>
      </w:r>
      <w:r>
        <w:rPr>
          <w:rFonts w:ascii="Times New Roman" w:hAnsi="Times New Roman"/>
          <w:b/>
          <w:bCs/>
          <w:sz w:val="26"/>
          <w:szCs w:val="26"/>
        </w:rPr>
        <w:t xml:space="preserve"> «Жилищно-коммунальное хозяйство и бюро технической инвентаризации» </w:t>
      </w:r>
      <w:r>
        <w:rPr>
          <w:rFonts w:ascii="Times New Roman" w:hAnsi="Times New Roman"/>
          <w:b/>
          <w:bCs/>
          <w:sz w:val="26"/>
          <w:szCs w:val="26"/>
        </w:rPr>
        <w:t xml:space="preserve">при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транспортировке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по сетям </w:t>
      </w:r>
      <w:r>
        <w:rPr>
          <w:rFonts w:ascii="Times New Roman" w:hAnsi="Times New Roman"/>
          <w:b/>
          <w:bCs/>
          <w:sz w:val="26"/>
          <w:szCs w:val="26"/>
        </w:rPr>
        <w:t xml:space="preserve">на 202</w:t>
      </w:r>
      <w:r>
        <w:rPr>
          <w:rFonts w:ascii="Times New Roman" w:hAnsi="Times New Roman"/>
          <w:b/>
          <w:bCs/>
          <w:sz w:val="26"/>
          <w:szCs w:val="26"/>
        </w:rPr>
        <w:t xml:space="preserve">5</w:t>
      </w:r>
      <w:r>
        <w:rPr>
          <w:rFonts w:ascii="Times New Roman" w:hAnsi="Times New Roman"/>
          <w:b/>
          <w:bCs/>
          <w:sz w:val="26"/>
          <w:szCs w:val="26"/>
        </w:rPr>
        <w:t xml:space="preserve"> – 202</w:t>
      </w:r>
      <w:r>
        <w:rPr>
          <w:rFonts w:ascii="Times New Roman" w:hAnsi="Times New Roman"/>
          <w:b/>
          <w:bCs/>
          <w:sz w:val="26"/>
          <w:szCs w:val="26"/>
        </w:rPr>
        <w:t xml:space="preserve">9</w:t>
      </w:r>
      <w:r>
        <w:rPr>
          <w:rFonts w:ascii="Times New Roman" w:hAnsi="Times New Roman"/>
          <w:b/>
          <w:bCs/>
          <w:sz w:val="26"/>
          <w:szCs w:val="26"/>
        </w:rPr>
        <w:t xml:space="preserve"> годы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jc w:val="both"/>
        <w:spacing w:line="216" w:lineRule="auto"/>
        <w:rPr>
          <w:rFonts w:ascii="Times New Roman" w:hAnsi="Times New Roman" w:eastAsiaTheme="minorHAnsi"/>
          <w:bCs/>
          <w:sz w:val="26"/>
          <w:szCs w:val="25"/>
          <w:lang w:eastAsia="en-US"/>
        </w:rPr>
      </w:pPr>
      <w:r>
        <w:rPr>
          <w:rFonts w:ascii="Times New Roman" w:hAnsi="Times New Roman" w:eastAsiaTheme="minorHAnsi"/>
          <w:bCs/>
          <w:sz w:val="26"/>
          <w:szCs w:val="25"/>
          <w:lang w:eastAsia="en-US"/>
        </w:rPr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</w:r>
    </w:p>
    <w:p>
      <w:pPr>
        <w:ind w:left="-284" w:firstLine="1135"/>
        <w:jc w:val="both"/>
        <w:spacing w:line="216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В соответствии с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пунктом 3.1 части 1 статьи 5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Федеральн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ого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закон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а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от 7 декабря 2011 г.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№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416-ФЗ «О водоснабжении и водоотведении»,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приказом Министерства строительства и жилищно-коммунального хозяйства Российской Федерации от 17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октября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2014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 г.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№ 640/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пр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«Об утверждении Методических указаний по расчету потерь горячей, питьевой, технической воды в централизованных системах водоснабжения при ее производстве и транспортировке»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(зарегистрирован в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Министерстве юстиции Российской Федерации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17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февраля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2015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г.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,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регистрационный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№ 36064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)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,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приказом Министерства строительства и жилищно-коммунального хозяйства Российской Федерации от 28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октября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2022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г.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№ 917/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пр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«Об утверждении Порядка установления нормативов потерь горячей, питьевой, технической воды в централизованных системах водоснабжения при ее произво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дстве и транспортировке и внесении изменений в некоторые приказы Министерства строительства и жилищно-коммунального хозяйства Российской Федерации по вопросам определения потерь горячей, питьевой, технической воды в централизованных системах водоснабжения»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(зарегистрирован в Мин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истерстве юстиции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Р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оссийской Федерации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30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ноября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2022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г.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,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регистрационный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№ 712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5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8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),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подпунктом 41.25 пункта 41 раздела III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П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оложения о Министерстве строительства, архитектуры и жилищно-коммунального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хозяйства Чувашской Республики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, утвержденного постановлением Кабинета Министров Чувашской Республики от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4 июня 2012 г.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№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214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п</w:t>
      </w:r>
      <w:r>
        <w:rPr>
          <w:rFonts w:ascii="Times New Roman" w:hAnsi="Times New Roman"/>
          <w:color w:val="000000"/>
          <w:sz w:val="26"/>
          <w:szCs w:val="26"/>
        </w:rPr>
        <w:t xml:space="preserve"> р и к а з ы в а ю: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left="-284" w:firstLine="992"/>
        <w:jc w:val="both"/>
        <w:spacing w:line="216" w:lineRule="auto"/>
        <w:rPr>
          <w:rFonts w:ascii="Times New Roman" w:hAnsi="Times New Roman" w:eastAsiaTheme="minorHAnsi"/>
          <w:b w:val="0"/>
          <w:bCs w:val="0"/>
          <w:sz w:val="26"/>
          <w:szCs w:val="25"/>
        </w:rPr>
      </w:pP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1.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Установить нормативы потерь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питьевой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воды в централизованн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ых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систем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а</w:t>
      </w:r>
      <w:r>
        <w:rPr>
          <w:rFonts w:ascii="Times New Roman" w:hAnsi="Times New Roman" w:eastAsiaTheme="minorHAnsi"/>
          <w:b w:val="0"/>
          <w:bCs w:val="0"/>
          <w:sz w:val="26"/>
          <w:szCs w:val="25"/>
          <w:lang w:eastAsia="en-US"/>
        </w:rPr>
        <w:t xml:space="preserve">х</w:t>
      </w:r>
      <w:r>
        <w:rPr>
          <w:rFonts w:ascii="Times New Roman" w:hAnsi="Times New Roman" w:eastAsiaTheme="minorHAnsi"/>
          <w:b w:val="0"/>
          <w:bCs w:val="0"/>
          <w:sz w:val="26"/>
          <w:szCs w:val="25"/>
          <w:lang w:eastAsia="en-US"/>
        </w:rPr>
        <w:t xml:space="preserve"> водоснабжения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Муниципального унитарного предприятия Чебоксарского муниципального округа Чувашской Республики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«Жилищно-коммунальное хозяйство и бюро технической инвентаризации» </w:t>
      </w:r>
      <w:r>
        <w:rPr>
          <w:rFonts w:ascii="Times New Roman" w:hAnsi="Times New Roman" w:eastAsiaTheme="minorHAnsi"/>
          <w:b w:val="0"/>
          <w:bCs w:val="0"/>
          <w:sz w:val="26"/>
          <w:szCs w:val="25"/>
          <w:lang w:eastAsia="en-US"/>
        </w:rPr>
        <w:t xml:space="preserve">при</w:t>
      </w:r>
      <w:r>
        <w:rPr>
          <w:rFonts w:ascii="Times New Roman" w:hAnsi="Times New Roman" w:eastAsiaTheme="minorHAnsi"/>
          <w:b w:val="0"/>
          <w:bCs w:val="0"/>
          <w:sz w:val="26"/>
          <w:szCs w:val="25"/>
          <w:lang w:eastAsia="en-US"/>
        </w:rPr>
        <w:t xml:space="preserve"> </w:t>
      </w:r>
      <w:r>
        <w:rPr>
          <w:rFonts w:ascii="Times New Roman" w:hAnsi="Times New Roman" w:eastAsiaTheme="minorHAnsi"/>
          <w:b w:val="0"/>
          <w:bCs w:val="0"/>
          <w:sz w:val="26"/>
          <w:szCs w:val="25"/>
          <w:lang w:eastAsia="en-US"/>
        </w:rPr>
        <w:t xml:space="preserve">транспортировке по сетям на 2025 – 2029 годы </w:t>
      </w:r>
      <w:r>
        <w:rPr>
          <w:rFonts w:ascii="Times New Roman" w:hAnsi="Times New Roman" w:eastAsiaTheme="minorHAnsi"/>
          <w:b w:val="0"/>
          <w:bCs w:val="0"/>
          <w:sz w:val="26"/>
          <w:szCs w:val="25"/>
          <w:lang w:eastAsia="en-US"/>
        </w:rPr>
        <w:t xml:space="preserve">согласно приложению.</w:t>
      </w:r>
      <w:r>
        <w:rPr>
          <w:rFonts w:ascii="Times New Roman" w:hAnsi="Times New Roman" w:eastAsiaTheme="minorHAnsi"/>
          <w:b w:val="0"/>
          <w:bCs w:val="0"/>
          <w:sz w:val="26"/>
          <w:szCs w:val="25"/>
          <w:lang w:eastAsia="en-US"/>
        </w:rPr>
      </w:r>
      <w:r>
        <w:rPr>
          <w:rFonts w:ascii="Times New Roman" w:hAnsi="Times New Roman" w:eastAsiaTheme="minorHAnsi"/>
          <w:b w:val="0"/>
          <w:bCs w:val="0"/>
          <w:sz w:val="26"/>
          <w:szCs w:val="25"/>
        </w:rPr>
      </w:r>
    </w:p>
    <w:p>
      <w:pPr>
        <w:ind w:left="-284" w:firstLine="992"/>
        <w:jc w:val="both"/>
        <w:spacing w:line="216" w:lineRule="auto"/>
        <w:rPr>
          <w:rFonts w:ascii="Times New Roman" w:hAnsi="Times New Roman" w:eastAsiaTheme="minorHAnsi"/>
          <w:bCs/>
          <w:sz w:val="26"/>
          <w:szCs w:val="25"/>
          <w:lang w:eastAsia="en-US"/>
        </w:rPr>
      </w:pP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2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.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Контроль за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исполнением настоящего приказа возложить на заместителя министра строительства, архитектуры и жилищно-коммунального хозяйства Чувашской Республики Филиппову Е.В.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</w:r>
    </w:p>
    <w:p>
      <w:pPr>
        <w:ind w:left="-284" w:firstLine="992"/>
        <w:jc w:val="both"/>
        <w:spacing w:line="216" w:lineRule="auto"/>
        <w:rPr>
          <w:rFonts w:ascii="Times New Roman" w:hAnsi="Times New Roman" w:eastAsiaTheme="minorHAnsi"/>
          <w:bCs/>
          <w:sz w:val="26"/>
          <w:szCs w:val="25"/>
          <w:lang w:eastAsia="en-US"/>
        </w:rPr>
      </w:pP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3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. Настоящий приказ вступает в силу через десять дней после дня его официального опубликования.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</w:r>
    </w:p>
    <w:p>
      <w:pPr>
        <w:ind w:left="-284"/>
        <w:jc w:val="both"/>
        <w:spacing w:line="216" w:lineRule="auto"/>
        <w:tabs>
          <w:tab w:val="left" w:pos="1641" w:leader="none"/>
        </w:tabs>
        <w:rPr>
          <w:rFonts w:ascii="Times New Roman" w:hAnsi="Times New Roman"/>
          <w:sz w:val="26"/>
          <w:highlight w:val="yellow"/>
        </w:rPr>
      </w:pPr>
      <w:r>
        <w:rPr>
          <w:rFonts w:ascii="Times New Roman" w:hAnsi="Times New Roman"/>
          <w:sz w:val="26"/>
          <w:highlight w:val="yellow"/>
        </w:rPr>
      </w:r>
      <w:r>
        <w:rPr>
          <w:rFonts w:ascii="Times New Roman" w:hAnsi="Times New Roman"/>
          <w:sz w:val="26"/>
          <w:highlight w:val="yellow"/>
        </w:rPr>
      </w:r>
      <w:r>
        <w:rPr>
          <w:rFonts w:ascii="Times New Roman" w:hAnsi="Times New Roman"/>
          <w:sz w:val="26"/>
          <w:highlight w:val="yellow"/>
        </w:rPr>
      </w:r>
    </w:p>
    <w:p>
      <w:pPr>
        <w:ind w:left="-284"/>
        <w:jc w:val="both"/>
        <w:spacing w:line="216" w:lineRule="auto"/>
        <w:tabs>
          <w:tab w:val="left" w:pos="1641" w:leader="none"/>
        </w:tabs>
        <w:rPr>
          <w:rFonts w:ascii="Times New Roman" w:hAnsi="Times New Roman"/>
          <w:sz w:val="26"/>
          <w:highlight w:val="yellow"/>
        </w:rPr>
      </w:pPr>
      <w:r>
        <w:rPr>
          <w:rFonts w:ascii="Times New Roman" w:hAnsi="Times New Roman"/>
          <w:sz w:val="26"/>
          <w:highlight w:val="yellow"/>
        </w:rPr>
      </w:r>
      <w:r>
        <w:rPr>
          <w:rFonts w:ascii="Times New Roman" w:hAnsi="Times New Roman"/>
          <w:sz w:val="26"/>
          <w:highlight w:val="yellow"/>
        </w:rPr>
      </w:r>
      <w:r>
        <w:rPr>
          <w:rFonts w:ascii="Times New Roman" w:hAnsi="Times New Roman"/>
          <w:sz w:val="26"/>
          <w:highlight w:val="yellow"/>
        </w:rPr>
      </w:r>
    </w:p>
    <w:p>
      <w:pPr>
        <w:ind w:left="-284" w:firstLine="0"/>
        <w:jc w:val="left"/>
        <w:spacing w:line="216" w:lineRule="auto"/>
        <w:rPr>
          <w:rFonts w:ascii="Times New Roman" w:hAnsi="Times New Roman" w:eastAsiaTheme="minorHAnsi"/>
          <w:bCs/>
          <w:sz w:val="26"/>
          <w:szCs w:val="25"/>
          <w:lang w:eastAsia="en-US"/>
        </w:rPr>
        <w:suppressLineNumbers w:val="0"/>
      </w:pPr>
      <w:r>
        <w:rPr>
          <w:rFonts w:ascii="Times New Roman" w:hAnsi="Times New Roman" w:eastAsiaTheme="minorHAnsi"/>
          <w:bCs/>
          <w:sz w:val="26"/>
          <w:szCs w:val="25"/>
          <w:lang w:eastAsia="en-US"/>
        </w:rPr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Министр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ab/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ab/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ab/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ab/>
        <w:t xml:space="preserve">           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ab/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ab/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ab/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  <w:t xml:space="preserve">                        М.А. Коледа</w:t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</w:r>
    </w:p>
    <w:p>
      <w:pPr>
        <w:jc w:val="right"/>
        <w:spacing w:line="216" w:lineRule="auto"/>
        <w:rPr>
          <w:rFonts w:ascii="Times New Roman" w:hAnsi="Times New Roman" w:eastAsiaTheme="minorHAnsi"/>
          <w:bCs/>
          <w:sz w:val="26"/>
          <w:szCs w:val="25"/>
          <w:lang w:eastAsia="en-US"/>
        </w:rPr>
      </w:pPr>
      <w:r>
        <w:rPr>
          <w:rFonts w:ascii="Times New Roman" w:hAnsi="Times New Roman" w:eastAsiaTheme="minorHAnsi"/>
          <w:bCs/>
          <w:sz w:val="26"/>
          <w:szCs w:val="25"/>
          <w:lang w:eastAsia="en-US"/>
        </w:rPr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</w:r>
      <w:r>
        <w:rPr>
          <w:rFonts w:ascii="Times New Roman" w:hAnsi="Times New Roman" w:eastAsiaTheme="minorHAnsi"/>
          <w:bCs/>
          <w:sz w:val="26"/>
          <w:szCs w:val="25"/>
          <w:lang w:eastAsia="en-US"/>
        </w:rPr>
      </w:r>
    </w:p>
    <w:p>
      <w:pPr>
        <w:jc w:val="right"/>
        <w:spacing w:line="216" w:lineRule="auto"/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szCs w:val="24"/>
          <w:highlight w:val="yellow"/>
        </w:rPr>
      </w:r>
      <w:r>
        <w:rPr>
          <w:rFonts w:ascii="Times New Roman" w:hAnsi="Times New Roman"/>
          <w:szCs w:val="24"/>
          <w:highlight w:val="yellow"/>
        </w:rPr>
      </w:r>
      <w:r>
        <w:rPr>
          <w:rFonts w:ascii="Times New Roman" w:hAnsi="Times New Roman"/>
          <w:szCs w:val="24"/>
          <w:highlight w:val="yellow"/>
        </w:rPr>
      </w:r>
    </w:p>
    <w:p>
      <w:pPr>
        <w:jc w:val="right"/>
        <w:spacing w:line="216" w:lineRule="auto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</w:r>
      <w:r>
        <w:rPr>
          <w:rFonts w:ascii="Times New Roman" w:hAnsi="Times New Roman"/>
          <w:sz w:val="26"/>
          <w:szCs w:val="26"/>
          <w:highlight w:val="yellow"/>
        </w:rPr>
      </w:r>
      <w:r>
        <w:rPr>
          <w:rFonts w:ascii="Times New Roman" w:hAnsi="Times New Roman"/>
          <w:sz w:val="26"/>
          <w:szCs w:val="26"/>
          <w:highlight w:val="yellow"/>
        </w:rPr>
      </w:r>
    </w:p>
    <w:p>
      <w:pPr>
        <w:jc w:val="right"/>
        <w:spacing w:line="21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line="216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right"/>
        <w:spacing w:line="216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right"/>
        <w:spacing w:line="216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right"/>
        <w:spacing w:line="21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</w:t>
      </w:r>
      <w:r>
        <w:rPr>
          <w:rFonts w:ascii="Times New Roman" w:hAnsi="Times New Roman"/>
          <w:sz w:val="26"/>
          <w:szCs w:val="26"/>
        </w:rPr>
        <w:t xml:space="preserve"> приказ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 Министерства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line="21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строительства, архитектуры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line="21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жилищно-коммунального хозяйства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line="21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 Республики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200" w:line="21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____________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_________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jc w:val="right"/>
        <w:spacing w:after="200" w:line="216" w:lineRule="auto"/>
        <w:rPr>
          <w:rFonts w:ascii="Times New Roman" w:hAnsi="Times New Roman"/>
          <w:sz w:val="26"/>
          <w:highlight w:val="yellow"/>
        </w:rPr>
      </w:pPr>
      <w:r>
        <w:rPr>
          <w:rFonts w:ascii="Times New Roman" w:hAnsi="Times New Roman"/>
          <w:sz w:val="26"/>
          <w:highlight w:val="yellow"/>
        </w:rPr>
      </w:r>
      <w:r>
        <w:rPr>
          <w:rFonts w:ascii="Times New Roman" w:hAnsi="Times New Roman"/>
          <w:sz w:val="26"/>
          <w:highlight w:val="yellow"/>
        </w:rPr>
      </w:r>
      <w:r>
        <w:rPr>
          <w:rFonts w:ascii="Times New Roman" w:hAnsi="Times New Roman"/>
          <w:sz w:val="26"/>
          <w:highlight w:val="yellow"/>
        </w:rPr>
      </w:r>
    </w:p>
    <w:p>
      <w:pPr>
        <w:pStyle w:val="849"/>
        <w:jc w:val="center"/>
        <w:spacing w:line="216" w:lineRule="auto"/>
        <w:rPr>
          <w:rFonts w:eastAsia="Arial Unicode MS"/>
          <w:b/>
          <w:color w:val="auto"/>
          <w:sz w:val="26"/>
          <w:szCs w:val="26"/>
          <w:lang w:eastAsia="zh-CN"/>
        </w:rPr>
      </w:pPr>
      <w:r>
        <w:rPr>
          <w:rFonts w:eastAsia="Arial Unicode MS"/>
          <w:b/>
          <w:color w:val="auto"/>
          <w:sz w:val="26"/>
          <w:szCs w:val="26"/>
          <w:lang w:eastAsia="zh-CN"/>
        </w:rPr>
        <w:t xml:space="preserve">Нормативы</w:t>
      </w:r>
      <w:r>
        <w:rPr>
          <w:rFonts w:eastAsia="Arial Unicode MS"/>
          <w:b/>
          <w:color w:val="auto"/>
          <w:sz w:val="26"/>
          <w:szCs w:val="26"/>
          <w:lang w:eastAsia="zh-CN"/>
        </w:rPr>
      </w:r>
      <w:r>
        <w:rPr>
          <w:rFonts w:eastAsia="Arial Unicode MS"/>
          <w:b/>
          <w:color w:val="auto"/>
          <w:sz w:val="26"/>
          <w:szCs w:val="26"/>
          <w:lang w:eastAsia="zh-CN"/>
        </w:rPr>
      </w:r>
    </w:p>
    <w:p>
      <w:pPr>
        <w:pStyle w:val="849"/>
        <w:jc w:val="center"/>
        <w:spacing w:line="216" w:lineRule="auto"/>
        <w:rPr>
          <w:rFonts w:eastAsia="Arial Unicode MS"/>
          <w:b/>
          <w:bCs/>
          <w:color w:val="auto"/>
          <w:sz w:val="26"/>
          <w:szCs w:val="26"/>
        </w:rPr>
      </w:pPr>
      <w:r>
        <w:rPr>
          <w:rFonts w:eastAsia="Arial Unicode MS"/>
          <w:b/>
          <w:color w:val="auto"/>
          <w:sz w:val="26"/>
          <w:szCs w:val="26"/>
          <w:lang w:eastAsia="zh-CN"/>
        </w:rPr>
        <w:t xml:space="preserve">п</w:t>
      </w:r>
      <w:r>
        <w:rPr>
          <w:rFonts w:eastAsia="Arial Unicode MS"/>
          <w:b/>
          <w:bCs/>
          <w:color w:val="auto"/>
          <w:sz w:val="26"/>
          <w:szCs w:val="26"/>
          <w:lang w:eastAsia="zh-CN"/>
        </w:rPr>
        <w:t xml:space="preserve">отерь </w:t>
      </w:r>
      <w:r>
        <w:rPr>
          <w:rFonts w:eastAsia="Arial Unicode MS"/>
          <w:b/>
          <w:bCs/>
          <w:color w:val="auto"/>
          <w:sz w:val="26"/>
          <w:szCs w:val="26"/>
          <w:lang w:eastAsia="zh-CN"/>
        </w:rPr>
        <w:t xml:space="preserve">питьевой </w:t>
      </w:r>
      <w:r>
        <w:rPr>
          <w:rFonts w:eastAsia="Arial Unicode MS"/>
          <w:b/>
          <w:bCs/>
          <w:color w:val="auto"/>
          <w:sz w:val="26"/>
          <w:szCs w:val="26"/>
          <w:lang w:eastAsia="zh-CN"/>
        </w:rPr>
        <w:t xml:space="preserve">воды в централизованн</w:t>
      </w:r>
      <w:r>
        <w:rPr>
          <w:rFonts w:eastAsia="Arial Unicode MS"/>
          <w:b/>
          <w:bCs/>
          <w:color w:val="auto"/>
          <w:sz w:val="26"/>
          <w:szCs w:val="26"/>
          <w:lang w:eastAsia="zh-CN"/>
        </w:rPr>
        <w:t xml:space="preserve">ых</w:t>
      </w:r>
      <w:r>
        <w:rPr>
          <w:rFonts w:eastAsia="Arial Unicode MS"/>
          <w:b/>
          <w:bCs/>
          <w:color w:val="auto"/>
          <w:sz w:val="26"/>
          <w:szCs w:val="26"/>
          <w:lang w:eastAsia="zh-CN"/>
        </w:rPr>
        <w:t xml:space="preserve"> систем</w:t>
      </w:r>
      <w:r>
        <w:rPr>
          <w:rFonts w:eastAsia="Arial Unicode MS"/>
          <w:b/>
          <w:bCs/>
          <w:color w:val="auto"/>
          <w:sz w:val="26"/>
          <w:szCs w:val="26"/>
          <w:lang w:eastAsia="zh-CN"/>
        </w:rPr>
        <w:t xml:space="preserve">ах</w:t>
      </w:r>
      <w:r>
        <w:rPr>
          <w:rFonts w:eastAsia="Arial Unicode MS"/>
          <w:b/>
          <w:bCs/>
          <w:color w:val="auto"/>
          <w:sz w:val="26"/>
          <w:szCs w:val="26"/>
          <w:lang w:eastAsia="zh-CN"/>
        </w:rPr>
        <w:t xml:space="preserve"> водоснабжения </w:t>
      </w:r>
      <w:r>
        <w:rPr>
          <w:rFonts w:eastAsia="Arial Unicode MS"/>
          <w:b/>
          <w:bCs/>
          <w:color w:val="auto"/>
          <w:sz w:val="26"/>
          <w:szCs w:val="26"/>
          <w:lang w:eastAsia="zh-CN"/>
        </w:rPr>
      </w:r>
      <w:r>
        <w:rPr>
          <w:rFonts w:eastAsia="Arial Unicode MS"/>
          <w:b/>
          <w:bCs/>
          <w:color w:val="auto"/>
          <w:sz w:val="26"/>
          <w:szCs w:val="26"/>
        </w:rPr>
      </w:r>
    </w:p>
    <w:p>
      <w:pPr>
        <w:pStyle w:val="849"/>
        <w:jc w:val="center"/>
        <w:spacing w:line="216" w:lineRule="auto"/>
        <w:rPr>
          <w:rFonts w:eastAsia="Arial Unicode MS"/>
          <w:b/>
          <w:bCs/>
          <w:color w:val="auto"/>
          <w:sz w:val="26"/>
          <w:szCs w:val="26"/>
        </w:rPr>
      </w:pPr>
      <w:r>
        <w:rPr>
          <w:b/>
          <w:bCs/>
          <w:sz w:val="26"/>
          <w:szCs w:val="25"/>
        </w:rPr>
      </w:r>
      <w:r>
        <w:rPr>
          <w:rFonts w:ascii="Times New Roman" w:hAnsi="Times New Roman"/>
          <w:b/>
          <w:bCs/>
          <w:sz w:val="26"/>
          <w:szCs w:val="26"/>
        </w:rPr>
        <w:t xml:space="preserve">Муниципального унитарного предприятия Чебоксарского муниципального округа Чувашской Республики</w:t>
      </w:r>
      <w:r>
        <w:rPr>
          <w:rFonts w:ascii="Times New Roman" w:hAnsi="Times New Roman"/>
          <w:b/>
          <w:bCs/>
          <w:sz w:val="26"/>
          <w:szCs w:val="26"/>
        </w:rPr>
        <w:t xml:space="preserve"> «Жилищно-коммунальное хозяйство и бюро технической инвентаризации»</w:t>
      </w:r>
      <w:r>
        <w:rPr>
          <w:b/>
          <w:bCs/>
          <w:sz w:val="26"/>
          <w:szCs w:val="25"/>
        </w:rPr>
        <w:t xml:space="preserve"> </w:t>
      </w:r>
      <w:r>
        <w:rPr>
          <w:b/>
          <w:bCs/>
          <w:sz w:val="26"/>
          <w:szCs w:val="25"/>
        </w:rPr>
        <w:t xml:space="preserve">при транспортировке</w:t>
      </w:r>
      <w:r>
        <w:rPr>
          <w:rFonts w:eastAsia="Arial Unicode MS"/>
          <w:b/>
          <w:bCs/>
          <w:color w:val="auto"/>
          <w:sz w:val="26"/>
          <w:szCs w:val="26"/>
          <w:lang w:eastAsia="zh-CN"/>
        </w:rPr>
        <w:t xml:space="preserve"> по сетям на                             2025 – 2029 го</w:t>
      </w:r>
      <w:r>
        <w:rPr>
          <w:rFonts w:eastAsia="Arial Unicode MS"/>
          <w:b/>
          <w:bCs/>
          <w:color w:val="auto"/>
          <w:sz w:val="26"/>
          <w:szCs w:val="26"/>
          <w:lang w:eastAsia="zh-CN"/>
        </w:rPr>
        <w:t xml:space="preserve">ды</w:t>
      </w:r>
      <w:r>
        <w:rPr>
          <w:rFonts w:eastAsia="Arial Unicode MS"/>
          <w:b/>
          <w:bCs/>
          <w:color w:val="auto"/>
          <w:sz w:val="26"/>
          <w:szCs w:val="26"/>
          <w:lang w:eastAsia="zh-CN"/>
        </w:rPr>
      </w:r>
      <w:r>
        <w:rPr>
          <w:rFonts w:eastAsia="Arial Unicode MS"/>
          <w:b/>
          <w:bCs/>
          <w:color w:val="auto"/>
          <w:sz w:val="26"/>
          <w:szCs w:val="26"/>
        </w:rPr>
      </w:r>
    </w:p>
    <w:p>
      <w:pPr>
        <w:pStyle w:val="849"/>
        <w:jc w:val="center"/>
        <w:spacing w:line="216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9371" w:type="dxa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82"/>
        <w:gridCol w:w="2977"/>
        <w:gridCol w:w="1162"/>
        <w:gridCol w:w="1162"/>
        <w:gridCol w:w="1163"/>
        <w:gridCol w:w="1162"/>
        <w:gridCol w:w="1163"/>
      </w:tblGrid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Наименование регулируемой организации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gridSpan w:val="5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Нормативы потерь пи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тьевой воды в централизованных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системах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водоснабжения при транспортировке, %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8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/>
                <w:color w:val="22272f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/>
                <w:color w:val="22272f"/>
                <w:sz w:val="26"/>
                <w:szCs w:val="26"/>
              </w:rPr>
            </w:r>
            <w:r>
              <w:rPr>
                <w:rFonts w:ascii="Times New Roman" w:hAnsi="Times New Roman"/>
                <w:color w:val="22272f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62" w:type="dxa"/>
            <w:vAlign w:val="center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62" w:type="dxa"/>
            <w:vAlign w:val="center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62" w:type="dxa"/>
            <w:vAlign w:val="center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2028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2029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134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Муниципальное унитарное предприятие Чебоксарского муниципального округа Чувашской Республики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«Жилищно-коммунальное хозяйство и бюро технической инвентаризации»</w:t>
            </w:r>
            <w:r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  <w:t xml:space="preserve">4,56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2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  <w:t xml:space="preserve">4,56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  <w:t xml:space="preserve">4,56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2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  <w:t xml:space="preserve">4,56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  <w:t xml:space="preserve">4,56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</w:r>
            <w:r/>
          </w:p>
        </w:tc>
      </w:tr>
    </w:tbl>
    <w:p>
      <w:pPr>
        <w:ind w:left="-284"/>
        <w:rPr>
          <w:rFonts w:asciiTheme="minorHAnsi" w:hAnsiTheme="minorHAnsi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</w:r>
      <w:r>
        <w:rPr>
          <w:rFonts w:asciiTheme="minorHAnsi" w:hAnsiTheme="minorHAnsi"/>
        </w:rPr>
      </w:r>
    </w:p>
    <w:p>
      <w:pPr>
        <w:ind w:left="-284"/>
        <w:rPr>
          <w:rFonts w:asciiTheme="minorHAnsi" w:hAnsiTheme="minorHAnsi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</w:r>
      <w:r>
        <w:rPr>
          <w:rFonts w:asciiTheme="minorHAnsi" w:hAnsiTheme="minorHAnsi"/>
        </w:rPr>
      </w:r>
    </w:p>
    <w:p>
      <w:pPr>
        <w:rPr>
          <w:rFonts w:ascii="Times New Roman" w:hAnsi="Times New Roman"/>
          <w:sz w:val="26"/>
        </w:rPr>
      </w:pPr>
      <w:r/>
      <w:bookmarkStart w:id="0" w:name="_GoBack"/>
      <w:r/>
      <w:bookmarkEnd w:id="0"/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TimesET">
    <w:panose1 w:val="02000603000000000000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right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1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1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1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0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0"/>
    <w:next w:val="840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1"/>
    <w:link w:val="684"/>
    <w:uiPriority w:val="10"/>
    <w:rPr>
      <w:sz w:val="48"/>
      <w:szCs w:val="48"/>
    </w:rPr>
  </w:style>
  <w:style w:type="paragraph" w:styleId="686">
    <w:name w:val="Subtitle"/>
    <w:basedOn w:val="840"/>
    <w:next w:val="840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1"/>
    <w:link w:val="686"/>
    <w:uiPriority w:val="11"/>
    <w:rPr>
      <w:sz w:val="24"/>
      <w:szCs w:val="24"/>
    </w:rPr>
  </w:style>
  <w:style w:type="paragraph" w:styleId="688">
    <w:name w:val="Quote"/>
    <w:basedOn w:val="840"/>
    <w:next w:val="840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0"/>
    <w:next w:val="840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41"/>
    <w:link w:val="850"/>
    <w:uiPriority w:val="99"/>
  </w:style>
  <w:style w:type="character" w:styleId="693">
    <w:name w:val="Footer Char"/>
    <w:basedOn w:val="841"/>
    <w:link w:val="85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52"/>
    <w:uiPriority w:val="99"/>
  </w:style>
  <w:style w:type="table" w:styleId="696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pPr>
      <w:spacing w:after="0" w:line="240" w:lineRule="auto"/>
    </w:pPr>
    <w:rPr>
      <w:rFonts w:ascii="TimesET" w:hAnsi="TimesET" w:eastAsia="Times New Roman" w:cs="Times New Roman"/>
      <w:sz w:val="24"/>
      <w:szCs w:val="20"/>
      <w:lang w:eastAsia="ru-RU"/>
    </w:rPr>
  </w:style>
  <w:style w:type="character" w:styleId="841" w:default="1">
    <w:name w:val="Default Paragraph Font"/>
    <w:uiPriority w:val="1"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845" w:customStyle="1">
    <w:name w:val="Основной текст (3)_"/>
    <w:link w:val="846"/>
    <w:rPr>
      <w:b/>
      <w:bCs/>
      <w:sz w:val="25"/>
      <w:szCs w:val="25"/>
      <w:shd w:val="clear" w:color="auto" w:fill="ffffff"/>
    </w:rPr>
  </w:style>
  <w:style w:type="paragraph" w:styleId="846" w:customStyle="1">
    <w:name w:val="Основной текст (3)"/>
    <w:basedOn w:val="840"/>
    <w:link w:val="845"/>
    <w:pPr>
      <w:ind w:firstLine="720"/>
      <w:jc w:val="both"/>
      <w:spacing w:before="840" w:after="540" w:line="298" w:lineRule="exact"/>
      <w:shd w:val="clear" w:color="auto" w:fill="ffffff"/>
    </w:pPr>
    <w:rPr>
      <w:rFonts w:asciiTheme="minorHAnsi" w:hAnsiTheme="minorHAnsi" w:eastAsiaTheme="minorHAnsi" w:cstheme="minorBidi"/>
      <w:b/>
      <w:bCs/>
      <w:sz w:val="25"/>
      <w:szCs w:val="25"/>
      <w:lang w:eastAsia="en-US"/>
    </w:rPr>
  </w:style>
  <w:style w:type="paragraph" w:styleId="847">
    <w:name w:val="Balloon Text"/>
    <w:basedOn w:val="840"/>
    <w:link w:val="848"/>
    <w:uiPriority w:val="99"/>
    <w:semiHidden/>
    <w:unhideWhenUsed/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41"/>
    <w:link w:val="84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50">
    <w:name w:val="Header"/>
    <w:basedOn w:val="840"/>
    <w:link w:val="8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841"/>
    <w:link w:val="850"/>
    <w:uiPriority w:val="99"/>
    <w:rPr>
      <w:rFonts w:ascii="TimesET" w:hAnsi="TimesET" w:eastAsia="Times New Roman" w:cs="Times New Roman"/>
      <w:sz w:val="24"/>
      <w:szCs w:val="20"/>
      <w:lang w:eastAsia="ru-RU"/>
    </w:rPr>
  </w:style>
  <w:style w:type="paragraph" w:styleId="852">
    <w:name w:val="Footer"/>
    <w:basedOn w:val="840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841"/>
    <w:link w:val="852"/>
    <w:uiPriority w:val="99"/>
    <w:rPr>
      <w:rFonts w:ascii="TimesET" w:hAnsi="TimesET" w:eastAsia="Times New Roman" w:cs="Times New Roman"/>
      <w:sz w:val="24"/>
      <w:szCs w:val="20"/>
      <w:lang w:eastAsia="ru-RU"/>
    </w:rPr>
  </w:style>
  <w:style w:type="paragraph" w:styleId="854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9DD17-121A-41D6-B531-EC2EABBD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10.</dc:creator>
  <cp:revision>14</cp:revision>
  <dcterms:created xsi:type="dcterms:W3CDTF">2024-07-01T11:41:00Z</dcterms:created>
  <dcterms:modified xsi:type="dcterms:W3CDTF">2025-01-09T06:33:43Z</dcterms:modified>
</cp:coreProperties>
</file>